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547"/>
        <w:gridCol w:w="6281"/>
      </w:tblGrid>
      <w:tr w:rsidR="00287D50" w:rsidTr="00695DE4">
        <w:tc>
          <w:tcPr>
            <w:tcW w:w="2547" w:type="dxa"/>
          </w:tcPr>
          <w:p w:rsidR="00287D50" w:rsidRPr="00287D50" w:rsidRDefault="00287D50" w:rsidP="00A22B32">
            <w:pPr>
              <w:rPr>
                <w:rFonts w:asciiTheme="minorHAnsi" w:hAnsiTheme="minorHAnsi" w:cstheme="minorHAnsi"/>
              </w:rPr>
            </w:pPr>
            <w:proofErr w:type="spellStart"/>
            <w:r w:rsidRPr="00287D50">
              <w:rPr>
                <w:rFonts w:asciiTheme="minorHAnsi" w:hAnsiTheme="minorHAnsi" w:cstheme="minorHAnsi"/>
              </w:rPr>
              <w:t>N°</w:t>
            </w:r>
            <w:proofErr w:type="spellEnd"/>
            <w:r w:rsidRPr="00287D50">
              <w:rPr>
                <w:rFonts w:asciiTheme="minorHAnsi" w:hAnsiTheme="minorHAnsi" w:cstheme="minorHAnsi"/>
              </w:rPr>
              <w:t xml:space="preserve"> Boletín</w:t>
            </w:r>
          </w:p>
        </w:tc>
        <w:tc>
          <w:tcPr>
            <w:tcW w:w="6281" w:type="dxa"/>
          </w:tcPr>
          <w:p w:rsidR="00287D50" w:rsidRPr="00287D50" w:rsidRDefault="00991D44" w:rsidP="00A22B32">
            <w:pPr>
              <w:rPr>
                <w:rFonts w:asciiTheme="minorHAnsi" w:hAnsiTheme="minorHAnsi" w:cstheme="minorHAnsi"/>
              </w:rPr>
            </w:pPr>
            <w:r>
              <w:rPr>
                <w:rFonts w:asciiTheme="minorHAnsi" w:hAnsiTheme="minorHAnsi" w:cstheme="minorHAnsi"/>
              </w:rPr>
              <w:t>1</w:t>
            </w:r>
            <w:r w:rsidR="001621B5">
              <w:rPr>
                <w:rFonts w:asciiTheme="minorHAnsi" w:hAnsiTheme="minorHAnsi" w:cstheme="minorHAnsi"/>
              </w:rPr>
              <w:t>215</w:t>
            </w:r>
            <w:r>
              <w:rPr>
                <w:rFonts w:asciiTheme="minorHAnsi" w:hAnsiTheme="minorHAnsi" w:cstheme="minorHAnsi"/>
              </w:rPr>
              <w:t>6-1</w:t>
            </w:r>
            <w:r w:rsidR="001621B5">
              <w:rPr>
                <w:rFonts w:asciiTheme="minorHAnsi" w:hAnsiTheme="minorHAnsi" w:cstheme="minorHAnsi"/>
              </w:rPr>
              <w:t>1</w:t>
            </w:r>
          </w:p>
        </w:tc>
      </w:tr>
      <w:tr w:rsidR="00287D50" w:rsidRPr="00287D50" w:rsidTr="00695DE4">
        <w:tc>
          <w:tcPr>
            <w:tcW w:w="2547" w:type="dxa"/>
          </w:tcPr>
          <w:p w:rsidR="00287D50" w:rsidRPr="00287D50" w:rsidRDefault="00287D50" w:rsidP="00A22B32">
            <w:pPr>
              <w:rPr>
                <w:rFonts w:asciiTheme="minorHAnsi" w:hAnsiTheme="minorHAnsi" w:cstheme="minorHAnsi"/>
              </w:rPr>
            </w:pPr>
            <w:r w:rsidRPr="00287D50">
              <w:rPr>
                <w:rFonts w:asciiTheme="minorHAnsi" w:hAnsiTheme="minorHAnsi" w:cstheme="minorHAnsi"/>
              </w:rPr>
              <w:t>Proyecto de Ley</w:t>
            </w:r>
          </w:p>
        </w:tc>
        <w:tc>
          <w:tcPr>
            <w:tcW w:w="6281" w:type="dxa"/>
          </w:tcPr>
          <w:p w:rsidR="00287D50" w:rsidRPr="00287D50" w:rsidRDefault="00E328A9" w:rsidP="00A22B32">
            <w:pPr>
              <w:rPr>
                <w:rFonts w:asciiTheme="minorHAnsi" w:hAnsiTheme="minorHAnsi" w:cstheme="minorHAnsi"/>
              </w:rPr>
            </w:pPr>
            <w:r w:rsidRPr="00E328A9">
              <w:rPr>
                <w:rFonts w:asciiTheme="minorHAnsi" w:hAnsiTheme="minorHAnsi" w:cstheme="minorHAnsi"/>
              </w:rPr>
              <w:t xml:space="preserve">Modifica la ley </w:t>
            </w:r>
            <w:proofErr w:type="spellStart"/>
            <w:r w:rsidRPr="00E328A9">
              <w:rPr>
                <w:rFonts w:asciiTheme="minorHAnsi" w:hAnsiTheme="minorHAnsi" w:cstheme="minorHAnsi"/>
              </w:rPr>
              <w:t>N°</w:t>
            </w:r>
            <w:proofErr w:type="spellEnd"/>
            <w:r w:rsidRPr="00E328A9">
              <w:rPr>
                <w:rFonts w:asciiTheme="minorHAnsi" w:hAnsiTheme="minorHAnsi" w:cstheme="minorHAnsi"/>
              </w:rPr>
              <w:t xml:space="preserve"> 20.584, a fin de crear el derecho a la atención preferente.</w:t>
            </w:r>
          </w:p>
        </w:tc>
      </w:tr>
      <w:tr w:rsidR="00287D50" w:rsidRPr="00287D50" w:rsidTr="00695DE4">
        <w:tc>
          <w:tcPr>
            <w:tcW w:w="2547" w:type="dxa"/>
          </w:tcPr>
          <w:p w:rsidR="00287D50" w:rsidRPr="00287D50" w:rsidRDefault="00287D50" w:rsidP="00A22B32">
            <w:pPr>
              <w:rPr>
                <w:rFonts w:asciiTheme="minorHAnsi" w:hAnsiTheme="minorHAnsi" w:cstheme="minorHAnsi"/>
              </w:rPr>
            </w:pPr>
            <w:r w:rsidRPr="00287D50">
              <w:rPr>
                <w:rFonts w:asciiTheme="minorHAnsi" w:hAnsiTheme="minorHAnsi" w:cstheme="minorHAnsi"/>
              </w:rPr>
              <w:t>Origen</w:t>
            </w:r>
          </w:p>
        </w:tc>
        <w:tc>
          <w:tcPr>
            <w:tcW w:w="6281" w:type="dxa"/>
          </w:tcPr>
          <w:p w:rsidR="00287D50" w:rsidRPr="00287D50" w:rsidRDefault="00991D44" w:rsidP="00A22B32">
            <w:pPr>
              <w:rPr>
                <w:rFonts w:asciiTheme="minorHAnsi" w:hAnsiTheme="minorHAnsi" w:cstheme="minorHAnsi"/>
              </w:rPr>
            </w:pPr>
            <w:r>
              <w:rPr>
                <w:rFonts w:asciiTheme="minorHAnsi" w:hAnsiTheme="minorHAnsi" w:cstheme="minorHAnsi"/>
              </w:rPr>
              <w:t xml:space="preserve">Senado. H.S. </w:t>
            </w:r>
            <w:proofErr w:type="gramStart"/>
            <w:r>
              <w:rPr>
                <w:rFonts w:asciiTheme="minorHAnsi" w:hAnsiTheme="minorHAnsi" w:cstheme="minorHAnsi"/>
              </w:rPr>
              <w:t xml:space="preserve">Girardi,  </w:t>
            </w:r>
            <w:r w:rsidR="00E328A9" w:rsidRPr="00E328A9">
              <w:rPr>
                <w:rFonts w:asciiTheme="minorHAnsi" w:hAnsiTheme="minorHAnsi" w:cstheme="minorHAnsi"/>
              </w:rPr>
              <w:t>Goic</w:t>
            </w:r>
            <w:proofErr w:type="gramEnd"/>
            <w:r w:rsidR="00E328A9">
              <w:rPr>
                <w:rFonts w:asciiTheme="minorHAnsi" w:hAnsiTheme="minorHAnsi" w:cstheme="minorHAnsi"/>
              </w:rPr>
              <w:t xml:space="preserve">, </w:t>
            </w:r>
            <w:r w:rsidR="00E328A9" w:rsidRPr="00E328A9">
              <w:rPr>
                <w:rFonts w:asciiTheme="minorHAnsi" w:hAnsiTheme="minorHAnsi" w:cstheme="minorHAnsi"/>
              </w:rPr>
              <w:t>Van Rysselberghe, Chahuán y Quinteros</w:t>
            </w:r>
            <w:r w:rsidR="00E328A9">
              <w:rPr>
                <w:rFonts w:asciiTheme="minorHAnsi" w:hAnsiTheme="minorHAnsi" w:cstheme="minorHAnsi"/>
              </w:rPr>
              <w:t>.</w:t>
            </w:r>
          </w:p>
        </w:tc>
      </w:tr>
      <w:tr w:rsidR="00287D50" w:rsidRPr="00287D50" w:rsidTr="00695DE4">
        <w:tc>
          <w:tcPr>
            <w:tcW w:w="2547" w:type="dxa"/>
          </w:tcPr>
          <w:p w:rsidR="00287D50" w:rsidRPr="00287D50" w:rsidRDefault="00287D50" w:rsidP="00A22B32">
            <w:pPr>
              <w:rPr>
                <w:rFonts w:asciiTheme="minorHAnsi" w:hAnsiTheme="minorHAnsi" w:cstheme="minorHAnsi"/>
              </w:rPr>
            </w:pPr>
            <w:r w:rsidRPr="00287D50">
              <w:rPr>
                <w:rFonts w:asciiTheme="minorHAnsi" w:hAnsiTheme="minorHAnsi" w:cstheme="minorHAnsi"/>
              </w:rPr>
              <w:t>Urgencia</w:t>
            </w:r>
          </w:p>
        </w:tc>
        <w:tc>
          <w:tcPr>
            <w:tcW w:w="6281" w:type="dxa"/>
          </w:tcPr>
          <w:p w:rsidR="00287D50" w:rsidRPr="00287D50" w:rsidRDefault="00E328A9" w:rsidP="00A22B32">
            <w:pPr>
              <w:rPr>
                <w:rFonts w:asciiTheme="minorHAnsi" w:hAnsiTheme="minorHAnsi" w:cstheme="minorHAnsi"/>
              </w:rPr>
            </w:pPr>
            <w:r>
              <w:rPr>
                <w:rFonts w:asciiTheme="minorHAnsi" w:hAnsiTheme="minorHAnsi" w:cstheme="minorHAnsi"/>
              </w:rPr>
              <w:t>Suma</w:t>
            </w:r>
          </w:p>
        </w:tc>
      </w:tr>
      <w:tr w:rsidR="00287D50" w:rsidRPr="00287D50" w:rsidTr="00695DE4">
        <w:tc>
          <w:tcPr>
            <w:tcW w:w="2547" w:type="dxa"/>
          </w:tcPr>
          <w:p w:rsidR="00287D50" w:rsidRPr="00287D50" w:rsidRDefault="00287D50" w:rsidP="00A22B32">
            <w:pPr>
              <w:rPr>
                <w:rFonts w:asciiTheme="minorHAnsi" w:hAnsiTheme="minorHAnsi" w:cstheme="minorHAnsi"/>
              </w:rPr>
            </w:pPr>
            <w:r w:rsidRPr="00287D50">
              <w:rPr>
                <w:rFonts w:asciiTheme="minorHAnsi" w:hAnsiTheme="minorHAnsi" w:cstheme="minorHAnsi"/>
              </w:rPr>
              <w:t>Comisión</w:t>
            </w:r>
          </w:p>
        </w:tc>
        <w:tc>
          <w:tcPr>
            <w:tcW w:w="6281" w:type="dxa"/>
          </w:tcPr>
          <w:p w:rsidR="00287D50" w:rsidRPr="00287D50" w:rsidRDefault="00E328A9" w:rsidP="00A22B32">
            <w:pPr>
              <w:rPr>
                <w:rFonts w:asciiTheme="minorHAnsi" w:hAnsiTheme="minorHAnsi" w:cstheme="minorHAnsi"/>
              </w:rPr>
            </w:pPr>
            <w:r>
              <w:rPr>
                <w:rFonts w:asciiTheme="minorHAnsi" w:hAnsiTheme="minorHAnsi" w:cstheme="minorHAnsi"/>
              </w:rPr>
              <w:t>Salud</w:t>
            </w:r>
          </w:p>
        </w:tc>
      </w:tr>
      <w:tr w:rsidR="00287D50" w:rsidRPr="00287D50" w:rsidTr="00695DE4">
        <w:tc>
          <w:tcPr>
            <w:tcW w:w="2547" w:type="dxa"/>
          </w:tcPr>
          <w:p w:rsidR="00287D50" w:rsidRPr="00287D50" w:rsidRDefault="00287D50" w:rsidP="00A22B32">
            <w:pPr>
              <w:rPr>
                <w:rFonts w:asciiTheme="minorHAnsi" w:hAnsiTheme="minorHAnsi" w:cstheme="minorHAnsi"/>
              </w:rPr>
            </w:pPr>
            <w:r w:rsidRPr="00287D50">
              <w:rPr>
                <w:rFonts w:asciiTheme="minorHAnsi" w:hAnsiTheme="minorHAnsi" w:cstheme="minorHAnsi"/>
              </w:rPr>
              <w:t>Tramitación</w:t>
            </w:r>
          </w:p>
        </w:tc>
        <w:tc>
          <w:tcPr>
            <w:tcW w:w="6281" w:type="dxa"/>
          </w:tcPr>
          <w:p w:rsidR="00287D50" w:rsidRPr="00287D50" w:rsidRDefault="00E328A9" w:rsidP="00A22B32">
            <w:pPr>
              <w:rPr>
                <w:rFonts w:asciiTheme="minorHAnsi" w:hAnsiTheme="minorHAnsi" w:cstheme="minorHAnsi"/>
              </w:rPr>
            </w:pPr>
            <w:r>
              <w:rPr>
                <w:rFonts w:asciiTheme="minorHAnsi" w:hAnsiTheme="minorHAnsi" w:cstheme="minorHAnsi"/>
              </w:rPr>
              <w:t>3</w:t>
            </w:r>
            <w:r w:rsidR="00287D50">
              <w:rPr>
                <w:rFonts w:asciiTheme="minorHAnsi" w:hAnsiTheme="minorHAnsi" w:cstheme="minorHAnsi"/>
              </w:rPr>
              <w:t>° trámite constitucional</w:t>
            </w:r>
          </w:p>
        </w:tc>
      </w:tr>
      <w:tr w:rsidR="00287D50" w:rsidRPr="00287D50" w:rsidTr="00695DE4">
        <w:tc>
          <w:tcPr>
            <w:tcW w:w="2547" w:type="dxa"/>
          </w:tcPr>
          <w:p w:rsidR="00287D50" w:rsidRPr="00287D50" w:rsidRDefault="00287D50" w:rsidP="00A22B32">
            <w:pPr>
              <w:rPr>
                <w:rFonts w:asciiTheme="minorHAnsi" w:hAnsiTheme="minorHAnsi" w:cstheme="minorHAnsi"/>
              </w:rPr>
            </w:pPr>
            <w:r w:rsidRPr="00287D50">
              <w:rPr>
                <w:rFonts w:asciiTheme="minorHAnsi" w:hAnsiTheme="minorHAnsi" w:cstheme="minorHAnsi"/>
              </w:rPr>
              <w:t>Otras consideraciones</w:t>
            </w:r>
          </w:p>
        </w:tc>
        <w:tc>
          <w:tcPr>
            <w:tcW w:w="6281" w:type="dxa"/>
          </w:tcPr>
          <w:p w:rsidR="00287D50" w:rsidRPr="00287D50" w:rsidRDefault="007C4C6B" w:rsidP="00A22B32">
            <w:pPr>
              <w:rPr>
                <w:rFonts w:asciiTheme="minorHAnsi" w:hAnsiTheme="minorHAnsi" w:cstheme="minorHAnsi"/>
              </w:rPr>
            </w:pPr>
            <w:r>
              <w:rPr>
                <w:rFonts w:asciiTheme="minorHAnsi" w:hAnsiTheme="minorHAnsi" w:cstheme="minorHAnsi"/>
              </w:rPr>
              <w:t>Se verá en fácil despacho tras haber ido a Comisión Mixta</w:t>
            </w:r>
            <w:r w:rsidR="00911467">
              <w:rPr>
                <w:rFonts w:asciiTheme="minorHAnsi" w:hAnsiTheme="minorHAnsi" w:cstheme="minorHAnsi"/>
              </w:rPr>
              <w:t xml:space="preserve">, donde los cambios lograron conciliar las diferentes posturas con el apoyo del Ejecutivo. </w:t>
            </w:r>
          </w:p>
        </w:tc>
      </w:tr>
    </w:tbl>
    <w:p w:rsidR="00BB6D00" w:rsidRPr="00287D50" w:rsidRDefault="00BB6D00" w:rsidP="00A22B32">
      <w:pPr>
        <w:rPr>
          <w:rFonts w:asciiTheme="minorHAnsi" w:hAnsiTheme="minorHAnsi" w:cstheme="minorHAnsi"/>
        </w:rPr>
      </w:pPr>
    </w:p>
    <w:p w:rsidR="00E328A9" w:rsidRDefault="0042038C" w:rsidP="00A22B32">
      <w:pPr>
        <w:jc w:val="center"/>
        <w:rPr>
          <w:rFonts w:asciiTheme="minorHAnsi" w:hAnsiTheme="minorHAnsi" w:cstheme="minorHAnsi"/>
          <w:u w:val="single"/>
        </w:rPr>
      </w:pPr>
      <w:r w:rsidRPr="004213D4">
        <w:rPr>
          <w:rFonts w:asciiTheme="minorHAnsi" w:hAnsiTheme="minorHAnsi" w:cstheme="minorHAnsi"/>
          <w:u w:val="single"/>
        </w:rPr>
        <w:t>IDEAS FUERZA</w:t>
      </w:r>
      <w:r w:rsidR="00004C0F">
        <w:rPr>
          <w:rFonts w:asciiTheme="minorHAnsi" w:hAnsiTheme="minorHAnsi" w:cstheme="minorHAnsi"/>
          <w:u w:val="single"/>
        </w:rPr>
        <w:t>.</w:t>
      </w:r>
      <w:r w:rsidR="00AB7751">
        <w:rPr>
          <w:rFonts w:asciiTheme="minorHAnsi" w:hAnsiTheme="minorHAnsi" w:cstheme="minorHAnsi"/>
          <w:u w:val="single"/>
        </w:rPr>
        <w:br/>
      </w:r>
    </w:p>
    <w:p w:rsidR="00741C35" w:rsidRDefault="00741C35" w:rsidP="00EE2D77">
      <w:pPr>
        <w:jc w:val="both"/>
        <w:rPr>
          <w:rFonts w:asciiTheme="minorHAnsi" w:hAnsiTheme="minorHAnsi" w:cstheme="minorHAnsi"/>
        </w:rPr>
      </w:pPr>
      <w:r>
        <w:rPr>
          <w:rFonts w:asciiTheme="minorHAnsi" w:hAnsiTheme="minorHAnsi" w:cstheme="minorHAnsi"/>
        </w:rPr>
        <w:t>El proyecto de ley</w:t>
      </w:r>
      <w:r w:rsidR="00A22B32">
        <w:rPr>
          <w:rFonts w:asciiTheme="minorHAnsi" w:hAnsiTheme="minorHAnsi" w:cstheme="minorHAnsi"/>
        </w:rPr>
        <w:t xml:space="preserve"> viene en crear el derecho de atención preferente de salud para las personas mayores de 60 años y a toda persona en situación de discapacidad, a través de la incorporación del texto como párrafo 3° de la ley 20.584 de Derechos y Deberes del Paciente.</w:t>
      </w:r>
    </w:p>
    <w:p w:rsidR="007C4C6B" w:rsidRDefault="007C4C6B" w:rsidP="00A22B32">
      <w:pPr>
        <w:rPr>
          <w:rFonts w:asciiTheme="minorHAnsi" w:hAnsiTheme="minorHAnsi" w:cstheme="minorHAnsi"/>
        </w:rPr>
      </w:pPr>
    </w:p>
    <w:p w:rsidR="007C4C6B" w:rsidRDefault="007C4C6B" w:rsidP="00A22B32">
      <w:pPr>
        <w:rPr>
          <w:rFonts w:asciiTheme="minorHAnsi" w:hAnsiTheme="minorHAnsi" w:cstheme="minorHAnsi"/>
        </w:rPr>
      </w:pPr>
      <w:r w:rsidRPr="007C4C6B">
        <w:rPr>
          <w:rFonts w:asciiTheme="minorHAnsi" w:hAnsiTheme="minorHAnsi" w:cstheme="minorHAnsi"/>
        </w:rPr>
        <w:t>Senado</w:t>
      </w:r>
      <w:r>
        <w:rPr>
          <w:rFonts w:asciiTheme="minorHAnsi" w:hAnsiTheme="minorHAnsi" w:cstheme="minorHAnsi"/>
        </w:rPr>
        <w:t>:</w:t>
      </w:r>
      <w:r w:rsidRPr="007C4C6B">
        <w:rPr>
          <w:rFonts w:asciiTheme="minorHAnsi" w:hAnsiTheme="minorHAnsi" w:cstheme="minorHAnsi"/>
        </w:rPr>
        <w:t xml:space="preserve"> aprobado en general y en particular 33 votos a favor, 0 en contra, 0 abstenciones. </w:t>
      </w:r>
      <w:r>
        <w:rPr>
          <w:rFonts w:asciiTheme="minorHAnsi" w:hAnsiTheme="minorHAnsi" w:cstheme="minorHAnsi"/>
        </w:rPr>
        <w:t>C</w:t>
      </w:r>
      <w:r w:rsidRPr="007C4C6B">
        <w:rPr>
          <w:rFonts w:asciiTheme="minorHAnsi" w:hAnsiTheme="minorHAnsi" w:cstheme="minorHAnsi"/>
        </w:rPr>
        <w:t>ámara</w:t>
      </w:r>
      <w:r>
        <w:rPr>
          <w:rFonts w:asciiTheme="minorHAnsi" w:hAnsiTheme="minorHAnsi" w:cstheme="minorHAnsi"/>
        </w:rPr>
        <w:t>:</w:t>
      </w:r>
      <w:r w:rsidRPr="007C4C6B">
        <w:rPr>
          <w:rFonts w:asciiTheme="minorHAnsi" w:hAnsiTheme="minorHAnsi" w:cstheme="minorHAnsi"/>
        </w:rPr>
        <w:t xml:space="preserve"> aprobado por 131 votos a favor, sin votos en contra ni abstenciones. </w:t>
      </w:r>
      <w:r>
        <w:rPr>
          <w:rFonts w:asciiTheme="minorHAnsi" w:hAnsiTheme="minorHAnsi" w:cstheme="minorHAnsi"/>
        </w:rPr>
        <w:br/>
      </w:r>
      <w:r w:rsidRPr="007C4C6B">
        <w:rPr>
          <w:rFonts w:asciiTheme="minorHAnsi" w:hAnsiTheme="minorHAnsi" w:cstheme="minorHAnsi"/>
        </w:rPr>
        <w:t>En Sala rechazadas las modificaciones de la Cámara y en comisión Mixta resuelto por unanimidad.</w:t>
      </w:r>
    </w:p>
    <w:p w:rsidR="007C4C6B" w:rsidRDefault="007C4C6B" w:rsidP="00A22B32">
      <w:pPr>
        <w:rPr>
          <w:rFonts w:asciiTheme="minorHAnsi" w:hAnsiTheme="minorHAnsi" w:cstheme="minorHAnsi"/>
        </w:rPr>
      </w:pPr>
    </w:p>
    <w:p w:rsidR="007C4C6B" w:rsidRPr="007C4C6B" w:rsidRDefault="007C4C6B" w:rsidP="007C4C6B">
      <w:pPr>
        <w:rPr>
          <w:rFonts w:asciiTheme="minorHAnsi" w:hAnsiTheme="minorHAnsi" w:cstheme="minorHAnsi"/>
        </w:rPr>
      </w:pPr>
      <w:r>
        <w:rPr>
          <w:rFonts w:asciiTheme="minorHAnsi" w:hAnsiTheme="minorHAnsi" w:cstheme="minorHAnsi"/>
        </w:rPr>
        <w:t>En base al</w:t>
      </w:r>
      <w:r w:rsidRPr="007C4C6B">
        <w:rPr>
          <w:rFonts w:asciiTheme="minorHAnsi" w:hAnsiTheme="minorHAnsi" w:cstheme="minorHAnsi"/>
        </w:rPr>
        <w:t xml:space="preserve"> rechazo de las enmiendas de la Cámara, se </w:t>
      </w:r>
      <w:r w:rsidRPr="007C4C6B">
        <w:rPr>
          <w:rFonts w:asciiTheme="minorHAnsi" w:hAnsiTheme="minorHAnsi" w:cstheme="minorHAnsi"/>
        </w:rPr>
        <w:t>constituyó</w:t>
      </w:r>
      <w:r w:rsidRPr="007C4C6B">
        <w:rPr>
          <w:rFonts w:asciiTheme="minorHAnsi" w:hAnsiTheme="minorHAnsi" w:cstheme="minorHAnsi"/>
        </w:rPr>
        <w:t xml:space="preserve"> comisión mixta</w:t>
      </w:r>
      <w:r>
        <w:rPr>
          <w:rFonts w:asciiTheme="minorHAnsi" w:hAnsiTheme="minorHAnsi" w:cstheme="minorHAnsi"/>
        </w:rPr>
        <w:t xml:space="preserve">, resultando en una nueva </w:t>
      </w:r>
      <w:r w:rsidRPr="007C4C6B">
        <w:rPr>
          <w:rFonts w:asciiTheme="minorHAnsi" w:hAnsiTheme="minorHAnsi" w:cstheme="minorHAnsi"/>
        </w:rPr>
        <w:t xml:space="preserve">redacción </w:t>
      </w:r>
      <w:r>
        <w:rPr>
          <w:rFonts w:asciiTheme="minorHAnsi" w:hAnsiTheme="minorHAnsi" w:cstheme="minorHAnsi"/>
        </w:rPr>
        <w:t xml:space="preserve">de </w:t>
      </w:r>
      <w:r w:rsidRPr="007C4C6B">
        <w:rPr>
          <w:rFonts w:asciiTheme="minorHAnsi" w:hAnsiTheme="minorHAnsi" w:cstheme="minorHAnsi"/>
        </w:rPr>
        <w:t>los artículos 5° bis inciso primero:</w:t>
      </w:r>
    </w:p>
    <w:p w:rsidR="007C4C6B" w:rsidRPr="007C4C6B" w:rsidRDefault="007C4C6B" w:rsidP="007C4C6B">
      <w:pPr>
        <w:rPr>
          <w:rFonts w:asciiTheme="minorHAnsi" w:hAnsiTheme="minorHAnsi" w:cstheme="minorHAnsi"/>
          <w:i/>
          <w:iCs/>
        </w:rPr>
      </w:pPr>
      <w:r w:rsidRPr="007C4C6B">
        <w:rPr>
          <w:rFonts w:asciiTheme="minorHAnsi" w:hAnsiTheme="minorHAnsi" w:cstheme="minorHAnsi"/>
          <w:i/>
          <w:iCs/>
        </w:rPr>
        <w:t xml:space="preserve">“Toda persona mayor de 60 años, como también toda persona en situación de discapacidad, tendrá derecho a ser atendida preferente y oportunamente por cualquier prestador de acciones de salud, sea público o privado, con el fin de facilitar su acceso a las acciones de salud, con el fin de facilitar su acceso a dichas acciones, sin perjuicio de la priorización que corresponda aplicar según la condición de salud de emergencias o urgencias de los pacientes, </w:t>
      </w:r>
      <w:proofErr w:type="gramStart"/>
      <w:r w:rsidRPr="007C4C6B">
        <w:rPr>
          <w:rFonts w:asciiTheme="minorHAnsi" w:hAnsiTheme="minorHAnsi" w:cstheme="minorHAnsi"/>
          <w:i/>
          <w:iCs/>
        </w:rPr>
        <w:t>de acuerdo al</w:t>
      </w:r>
      <w:proofErr w:type="gramEnd"/>
      <w:r w:rsidRPr="007C4C6B">
        <w:rPr>
          <w:rFonts w:asciiTheme="minorHAnsi" w:hAnsiTheme="minorHAnsi" w:cstheme="minorHAnsi"/>
          <w:i/>
          <w:iCs/>
        </w:rPr>
        <w:t xml:space="preserve"> protocolo respectivo”. </w:t>
      </w:r>
    </w:p>
    <w:p w:rsidR="007C4C6B" w:rsidRPr="007C4C6B" w:rsidRDefault="007C4C6B" w:rsidP="007C4C6B">
      <w:pPr>
        <w:rPr>
          <w:rFonts w:asciiTheme="minorHAnsi" w:hAnsiTheme="minorHAnsi" w:cstheme="minorHAnsi"/>
          <w:i/>
          <w:iCs/>
        </w:rPr>
      </w:pPr>
    </w:p>
    <w:p w:rsidR="007C4C6B" w:rsidRDefault="007C4C6B" w:rsidP="007C4C6B">
      <w:pPr>
        <w:rPr>
          <w:rFonts w:asciiTheme="minorHAnsi" w:hAnsiTheme="minorHAnsi" w:cstheme="minorHAnsi"/>
        </w:rPr>
      </w:pPr>
      <w:r>
        <w:rPr>
          <w:rFonts w:asciiTheme="minorHAnsi" w:hAnsiTheme="minorHAnsi" w:cstheme="minorHAnsi"/>
        </w:rPr>
        <w:t xml:space="preserve">Asimismo, </w:t>
      </w:r>
      <w:r w:rsidR="00911467">
        <w:rPr>
          <w:rFonts w:asciiTheme="minorHAnsi" w:hAnsiTheme="minorHAnsi" w:cstheme="minorHAnsi"/>
        </w:rPr>
        <w:t>a</w:t>
      </w:r>
      <w:r w:rsidRPr="007C4C6B">
        <w:rPr>
          <w:rFonts w:asciiTheme="minorHAnsi" w:hAnsiTheme="minorHAnsi" w:cstheme="minorHAnsi"/>
        </w:rPr>
        <w:t>justa el inciso segundo para darle coherencia con el nuevo inciso primero, sobre todo en materia de interconsultas y entrega de medicamentos</w:t>
      </w:r>
      <w:r w:rsidR="00911467">
        <w:rPr>
          <w:rFonts w:asciiTheme="minorHAnsi" w:hAnsiTheme="minorHAnsi" w:cstheme="minorHAnsi"/>
        </w:rPr>
        <w:t>, así como de la emisión y entrega de recetas</w:t>
      </w:r>
      <w:r w:rsidRPr="007C4C6B">
        <w:rPr>
          <w:rFonts w:asciiTheme="minorHAnsi" w:hAnsiTheme="minorHAnsi" w:cstheme="minorHAnsi"/>
        </w:rPr>
        <w:t xml:space="preserve">. </w:t>
      </w:r>
      <w:r w:rsidR="00911467">
        <w:rPr>
          <w:rFonts w:asciiTheme="minorHAnsi" w:hAnsiTheme="minorHAnsi" w:cstheme="minorHAnsi"/>
        </w:rPr>
        <w:t>Con e</w:t>
      </w:r>
      <w:r w:rsidRPr="007C4C6B">
        <w:rPr>
          <w:rFonts w:asciiTheme="minorHAnsi" w:hAnsiTheme="minorHAnsi" w:cstheme="minorHAnsi"/>
        </w:rPr>
        <w:t xml:space="preserve">stos cambios </w:t>
      </w:r>
      <w:r w:rsidR="00911467">
        <w:rPr>
          <w:rFonts w:asciiTheme="minorHAnsi" w:hAnsiTheme="minorHAnsi" w:cstheme="minorHAnsi"/>
        </w:rPr>
        <w:t>se mantiene la idea de atención preferente, sin vulnerar</w:t>
      </w:r>
      <w:r w:rsidRPr="007C4C6B">
        <w:rPr>
          <w:rFonts w:asciiTheme="minorHAnsi" w:hAnsiTheme="minorHAnsi" w:cstheme="minorHAnsi"/>
        </w:rPr>
        <w:t xml:space="preserve"> los procedimientos de</w:t>
      </w:r>
      <w:r w:rsidR="00911467">
        <w:rPr>
          <w:rFonts w:asciiTheme="minorHAnsi" w:hAnsiTheme="minorHAnsi" w:cstheme="minorHAnsi"/>
        </w:rPr>
        <w:t xml:space="preserve"> priorización</w:t>
      </w:r>
      <w:r w:rsidRPr="007C4C6B">
        <w:rPr>
          <w:rFonts w:asciiTheme="minorHAnsi" w:hAnsiTheme="minorHAnsi" w:cstheme="minorHAnsi"/>
        </w:rPr>
        <w:t xml:space="preserve"> en casos d</w:t>
      </w:r>
      <w:r w:rsidR="00911467">
        <w:rPr>
          <w:rFonts w:asciiTheme="minorHAnsi" w:hAnsiTheme="minorHAnsi" w:cstheme="minorHAnsi"/>
        </w:rPr>
        <w:t>e</w:t>
      </w:r>
      <w:r w:rsidRPr="007C4C6B">
        <w:rPr>
          <w:rFonts w:asciiTheme="minorHAnsi" w:hAnsiTheme="minorHAnsi" w:cstheme="minorHAnsi"/>
        </w:rPr>
        <w:t xml:space="preserve"> urgencia, el cual estará contenido en un protocolo que emita el Ministerio de Salud para estos fines.</w:t>
      </w:r>
      <w:r w:rsidR="00911467">
        <w:rPr>
          <w:rFonts w:asciiTheme="minorHAnsi" w:hAnsiTheme="minorHAnsi" w:cstheme="minorHAnsi"/>
        </w:rPr>
        <w:t xml:space="preserve"> Agrega además el transitorio que otorga 6 meses para la dictación del reglamento que establece la forma de aplicación de esta ley. </w:t>
      </w:r>
    </w:p>
    <w:p w:rsidR="00D75693" w:rsidRDefault="00A405F8" w:rsidP="00EE2D77">
      <w:pPr>
        <w:jc w:val="both"/>
        <w:rPr>
          <w:rFonts w:asciiTheme="minorHAnsi" w:hAnsiTheme="minorHAnsi" w:cstheme="minorHAnsi"/>
        </w:rPr>
      </w:pPr>
      <w:r>
        <w:rPr>
          <w:rFonts w:asciiTheme="minorHAnsi" w:hAnsiTheme="minorHAnsi" w:cstheme="minorHAnsi"/>
        </w:rPr>
        <w:lastRenderedPageBreak/>
        <w:t>Las personas mayores y aquellas en situación de discapacidad se enfrentan constantemente a un mundo que</w:t>
      </w:r>
      <w:r w:rsidR="00D75693">
        <w:rPr>
          <w:rFonts w:asciiTheme="minorHAnsi" w:hAnsiTheme="minorHAnsi" w:cstheme="minorHAnsi"/>
        </w:rPr>
        <w:t>,</w:t>
      </w:r>
      <w:r>
        <w:rPr>
          <w:rFonts w:asciiTheme="minorHAnsi" w:hAnsiTheme="minorHAnsi" w:cstheme="minorHAnsi"/>
        </w:rPr>
        <w:t xml:space="preserve"> lamentablemente, no les favorece para su cotidiano vivir. La movilidad reducida y los problemas que ello conlleva, hace</w:t>
      </w:r>
      <w:r w:rsidR="00D75693">
        <w:rPr>
          <w:rFonts w:asciiTheme="minorHAnsi" w:hAnsiTheme="minorHAnsi" w:cstheme="minorHAnsi"/>
        </w:rPr>
        <w:t>n</w:t>
      </w:r>
      <w:r>
        <w:rPr>
          <w:rFonts w:asciiTheme="minorHAnsi" w:hAnsiTheme="minorHAnsi" w:cstheme="minorHAnsi"/>
        </w:rPr>
        <w:t xml:space="preserve"> que </w:t>
      </w:r>
      <w:r w:rsidR="00D75693">
        <w:rPr>
          <w:rFonts w:asciiTheme="minorHAnsi" w:hAnsiTheme="minorHAnsi" w:cstheme="minorHAnsi"/>
        </w:rPr>
        <w:t xml:space="preserve">las </w:t>
      </w:r>
      <w:r>
        <w:rPr>
          <w:rFonts w:asciiTheme="minorHAnsi" w:hAnsiTheme="minorHAnsi" w:cstheme="minorHAnsi"/>
        </w:rPr>
        <w:t>horas de espera sean más duras de lo que son para otras personas. Confiamos en la cortesía y buenas costumbres de la sociedad, que por fortuna aún subsisten</w:t>
      </w:r>
      <w:r w:rsidR="00D75693">
        <w:rPr>
          <w:rFonts w:asciiTheme="minorHAnsi" w:hAnsiTheme="minorHAnsi" w:cstheme="minorHAnsi"/>
        </w:rPr>
        <w:t xml:space="preserve"> en algunos casos</w:t>
      </w:r>
      <w:r>
        <w:rPr>
          <w:rFonts w:asciiTheme="minorHAnsi" w:hAnsiTheme="minorHAnsi" w:cstheme="minorHAnsi"/>
        </w:rPr>
        <w:t>, pudiendo ve</w:t>
      </w:r>
      <w:r w:rsidR="00D75693">
        <w:rPr>
          <w:rFonts w:asciiTheme="minorHAnsi" w:hAnsiTheme="minorHAnsi" w:cstheme="minorHAnsi"/>
        </w:rPr>
        <w:t>r que</w:t>
      </w:r>
      <w:r>
        <w:rPr>
          <w:rFonts w:asciiTheme="minorHAnsi" w:hAnsiTheme="minorHAnsi" w:cstheme="minorHAnsi"/>
        </w:rPr>
        <w:t xml:space="preserve"> una persona joven cede su asiento o lugar en </w:t>
      </w:r>
      <w:r w:rsidR="00D75693">
        <w:rPr>
          <w:rFonts w:asciiTheme="minorHAnsi" w:hAnsiTheme="minorHAnsi" w:cstheme="minorHAnsi"/>
        </w:rPr>
        <w:t>l</w:t>
      </w:r>
      <w:r>
        <w:rPr>
          <w:rFonts w:asciiTheme="minorHAnsi" w:hAnsiTheme="minorHAnsi" w:cstheme="minorHAnsi"/>
        </w:rPr>
        <w:t xml:space="preserve">a fila a una persona mayor, o ayudan a una persona en silla de ruedas a subir a una micro… Pero no es suficiente y mucho menos cuando de atención de salud se trata. </w:t>
      </w:r>
    </w:p>
    <w:p w:rsidR="00A405F8" w:rsidRDefault="00D75693" w:rsidP="00EE2D77">
      <w:pPr>
        <w:jc w:val="both"/>
        <w:rPr>
          <w:rFonts w:asciiTheme="minorHAnsi" w:hAnsiTheme="minorHAnsi" w:cstheme="minorHAnsi"/>
        </w:rPr>
      </w:pPr>
      <w:r>
        <w:rPr>
          <w:rFonts w:asciiTheme="minorHAnsi" w:hAnsiTheme="minorHAnsi" w:cstheme="minorHAnsi"/>
        </w:rPr>
        <w:t>Tal como se analizó en comisión, estas personas declaran tener peor estado de salud que el resto de la población, por lo que es un problema que no podemos dejar de resolver</w:t>
      </w:r>
      <w:r w:rsidR="0044132F">
        <w:rPr>
          <w:rFonts w:asciiTheme="minorHAnsi" w:hAnsiTheme="minorHAnsi" w:cstheme="minorHAnsi"/>
        </w:rPr>
        <w:t>.</w:t>
      </w:r>
    </w:p>
    <w:p w:rsidR="0044132F" w:rsidRDefault="0044132F" w:rsidP="00EE2D77">
      <w:pPr>
        <w:jc w:val="both"/>
        <w:rPr>
          <w:rFonts w:asciiTheme="minorHAnsi" w:hAnsiTheme="minorHAnsi" w:cstheme="minorHAnsi"/>
        </w:rPr>
      </w:pPr>
      <w:r>
        <w:rPr>
          <w:rFonts w:asciiTheme="minorHAnsi" w:hAnsiTheme="minorHAnsi" w:cstheme="minorHAnsi"/>
        </w:rPr>
        <w:t>Otro aspecto relevante es el envejecimiento de la población, siendo los adultos mayores a diciembre de 2017 un 11,4% del país, cifra que se estima llegará al 25% en el 2050 según cifras del INE*</w:t>
      </w:r>
      <w:r w:rsidR="00EE2D77">
        <w:rPr>
          <w:rFonts w:asciiTheme="minorHAnsi" w:hAnsiTheme="minorHAnsi" w:cstheme="minorHAnsi"/>
        </w:rPr>
        <w:t>*</w:t>
      </w:r>
      <w:r>
        <w:rPr>
          <w:rFonts w:asciiTheme="minorHAnsi" w:hAnsiTheme="minorHAnsi" w:cstheme="minorHAnsi"/>
        </w:rPr>
        <w:t>. Junto con el envejecimiento se suman los problemas de movilidad, la que cada vez es más costosa, por lo que este proyecto se enfoca en la dirección correcta.</w:t>
      </w:r>
    </w:p>
    <w:p w:rsidR="00EE2D77" w:rsidRDefault="0044132F" w:rsidP="00EE2D77">
      <w:pPr>
        <w:jc w:val="both"/>
        <w:rPr>
          <w:rFonts w:asciiTheme="minorHAnsi" w:hAnsiTheme="minorHAnsi" w:cstheme="minorHAnsi"/>
        </w:rPr>
      </w:pPr>
      <w:r>
        <w:rPr>
          <w:rFonts w:asciiTheme="minorHAnsi" w:hAnsiTheme="minorHAnsi" w:cstheme="minorHAnsi"/>
        </w:rPr>
        <w:t xml:space="preserve">En cuanto a la modificación que realizó la Cámara al eliminar la atención preferente para urgencia, es de toda </w:t>
      </w:r>
      <w:r w:rsidR="00A405F8">
        <w:rPr>
          <w:rFonts w:asciiTheme="minorHAnsi" w:hAnsiTheme="minorHAnsi" w:cstheme="minorHAnsi"/>
        </w:rPr>
        <w:t xml:space="preserve">lógica, dado que </w:t>
      </w:r>
      <w:r>
        <w:rPr>
          <w:rFonts w:asciiTheme="minorHAnsi" w:hAnsiTheme="minorHAnsi" w:cstheme="minorHAnsi"/>
        </w:rPr>
        <w:t xml:space="preserve">si </w:t>
      </w:r>
      <w:r w:rsidR="00A405F8">
        <w:rPr>
          <w:rFonts w:asciiTheme="minorHAnsi" w:hAnsiTheme="minorHAnsi" w:cstheme="minorHAnsi"/>
        </w:rPr>
        <w:t>una persona de 30 años llega con infarto a urgencia debe necesariamente ser atendida antes de una persona de 70 años que va a realizarse una revisión general.</w:t>
      </w:r>
      <w:r>
        <w:rPr>
          <w:rFonts w:asciiTheme="minorHAnsi" w:hAnsiTheme="minorHAnsi" w:cstheme="minorHAnsi"/>
        </w:rPr>
        <w:t xml:space="preserve"> El criterio de edad es sumamente importante por las razones expuestas, pero no el único, debiendo conciliarse con la protección de la vida y salud de todas las personas. </w:t>
      </w:r>
    </w:p>
    <w:p w:rsidR="00A405F8" w:rsidRDefault="0044132F" w:rsidP="00EE2D77">
      <w:pPr>
        <w:jc w:val="both"/>
        <w:rPr>
          <w:rFonts w:asciiTheme="minorHAnsi" w:hAnsiTheme="minorHAnsi" w:cstheme="minorHAnsi"/>
          <w:caps/>
        </w:rPr>
      </w:pPr>
      <w:r>
        <w:rPr>
          <w:rFonts w:asciiTheme="minorHAnsi" w:hAnsiTheme="minorHAnsi" w:cstheme="minorHAnsi"/>
        </w:rPr>
        <w:t>Esto va en línea directa con la modificación que agrega que esta atención preferente al momento de ingreso del paciente se hará sin perjuicio del criterio de gravedad de la enfermedad, enfatizando de esta forma la protección de la vida de todas las personas</w:t>
      </w:r>
      <w:r w:rsidR="00EE2D77">
        <w:rPr>
          <w:rFonts w:asciiTheme="minorHAnsi" w:hAnsiTheme="minorHAnsi" w:cstheme="minorHAnsi"/>
        </w:rPr>
        <w:t xml:space="preserve">, tal como establece nuestra Constitución en su artículo 19 y qué mejor, que haciéndola cada vez más digna al brindar atención preferente a los adultos y personas en situación de discapacidad en nuestros centros de salud. </w:t>
      </w:r>
    </w:p>
    <w:p w:rsidR="0044132F" w:rsidRDefault="0044132F" w:rsidP="00A405F8">
      <w:pPr>
        <w:rPr>
          <w:rFonts w:asciiTheme="minorHAnsi" w:hAnsiTheme="minorHAnsi" w:cstheme="minorHAnsi"/>
          <w:caps/>
        </w:rPr>
      </w:pPr>
    </w:p>
    <w:p w:rsidR="00807A18" w:rsidRDefault="0042038C" w:rsidP="00A22B32">
      <w:pPr>
        <w:jc w:val="both"/>
        <w:rPr>
          <w:rFonts w:asciiTheme="minorHAnsi" w:hAnsiTheme="minorHAnsi" w:cstheme="minorHAnsi"/>
          <w:caps/>
        </w:rPr>
      </w:pPr>
      <w:r w:rsidRPr="00EE2F2E">
        <w:rPr>
          <w:rFonts w:asciiTheme="minorHAnsi" w:hAnsiTheme="minorHAnsi" w:cstheme="minorHAnsi"/>
          <w:caps/>
        </w:rPr>
        <w:t xml:space="preserve">Sugerencia de votación: </w:t>
      </w:r>
      <w:r w:rsidR="00E328A9">
        <w:rPr>
          <w:rFonts w:asciiTheme="minorHAnsi" w:hAnsiTheme="minorHAnsi" w:cstheme="minorHAnsi"/>
          <w:caps/>
        </w:rPr>
        <w:t xml:space="preserve">a favor. </w:t>
      </w:r>
      <w:r w:rsidR="00EE09B3" w:rsidRPr="00EE2F2E">
        <w:rPr>
          <w:rFonts w:asciiTheme="minorHAnsi" w:hAnsiTheme="minorHAnsi" w:cstheme="minorHAnsi"/>
          <w:caps/>
        </w:rPr>
        <w:t xml:space="preserve"> </w:t>
      </w:r>
    </w:p>
    <w:p w:rsidR="00EE2D77" w:rsidRDefault="00EE2D77" w:rsidP="00EE2D77">
      <w:pPr>
        <w:rPr>
          <w:rFonts w:asciiTheme="minorHAnsi" w:hAnsiTheme="minorHAnsi" w:cstheme="minorHAnsi"/>
          <w:sz w:val="18"/>
        </w:rPr>
      </w:pPr>
    </w:p>
    <w:p w:rsidR="00EE2D77" w:rsidRDefault="00EE2D77" w:rsidP="00EE2D77">
      <w:pPr>
        <w:rPr>
          <w:rFonts w:asciiTheme="minorHAnsi" w:hAnsiTheme="minorHAnsi" w:cstheme="minorHAnsi"/>
          <w:color w:val="404040" w:themeColor="text1" w:themeTint="BF"/>
          <w:sz w:val="18"/>
        </w:rPr>
      </w:pPr>
    </w:p>
    <w:p w:rsidR="00911467" w:rsidRDefault="00911467" w:rsidP="00EE2D77">
      <w:pPr>
        <w:rPr>
          <w:rFonts w:asciiTheme="minorHAnsi" w:hAnsiTheme="minorHAnsi" w:cstheme="minorHAnsi"/>
          <w:color w:val="404040" w:themeColor="text1" w:themeTint="BF"/>
          <w:sz w:val="18"/>
        </w:rPr>
      </w:pPr>
    </w:p>
    <w:p w:rsidR="00911467" w:rsidRDefault="00911467" w:rsidP="00EE2D77">
      <w:pPr>
        <w:rPr>
          <w:rFonts w:asciiTheme="minorHAnsi" w:hAnsiTheme="minorHAnsi" w:cstheme="minorHAnsi"/>
          <w:color w:val="404040" w:themeColor="text1" w:themeTint="BF"/>
          <w:sz w:val="18"/>
        </w:rPr>
      </w:pPr>
    </w:p>
    <w:p w:rsidR="00911467" w:rsidRDefault="00911467" w:rsidP="00EE2D77">
      <w:pPr>
        <w:rPr>
          <w:rFonts w:asciiTheme="minorHAnsi" w:hAnsiTheme="minorHAnsi" w:cstheme="minorHAnsi"/>
          <w:color w:val="404040" w:themeColor="text1" w:themeTint="BF"/>
          <w:sz w:val="18"/>
        </w:rPr>
      </w:pPr>
    </w:p>
    <w:p w:rsidR="00911467" w:rsidRDefault="00911467" w:rsidP="00EE2D77">
      <w:pPr>
        <w:rPr>
          <w:rFonts w:asciiTheme="minorHAnsi" w:hAnsiTheme="minorHAnsi" w:cstheme="minorHAnsi"/>
          <w:color w:val="404040" w:themeColor="text1" w:themeTint="BF"/>
          <w:sz w:val="18"/>
        </w:rPr>
      </w:pPr>
    </w:p>
    <w:p w:rsidR="00911467" w:rsidRDefault="00911467" w:rsidP="00EE2D77">
      <w:pPr>
        <w:rPr>
          <w:rFonts w:asciiTheme="minorHAnsi" w:hAnsiTheme="minorHAnsi" w:cstheme="minorHAnsi"/>
          <w:color w:val="404040" w:themeColor="text1" w:themeTint="BF"/>
          <w:sz w:val="18"/>
        </w:rPr>
      </w:pPr>
    </w:p>
    <w:p w:rsidR="00911467" w:rsidRDefault="00911467" w:rsidP="00EE2D77">
      <w:pPr>
        <w:rPr>
          <w:rFonts w:asciiTheme="minorHAnsi" w:hAnsiTheme="minorHAnsi" w:cstheme="minorHAnsi"/>
          <w:color w:val="404040" w:themeColor="text1" w:themeTint="BF"/>
          <w:sz w:val="18"/>
        </w:rPr>
      </w:pPr>
    </w:p>
    <w:p w:rsidR="00911467" w:rsidRDefault="00911467" w:rsidP="00EE2D77">
      <w:pPr>
        <w:rPr>
          <w:rFonts w:asciiTheme="minorHAnsi" w:hAnsiTheme="minorHAnsi" w:cstheme="minorHAnsi"/>
          <w:color w:val="404040" w:themeColor="text1" w:themeTint="BF"/>
          <w:sz w:val="18"/>
        </w:rPr>
      </w:pPr>
    </w:p>
    <w:p w:rsidR="00911467" w:rsidRDefault="00911467" w:rsidP="00EE2D77">
      <w:pPr>
        <w:rPr>
          <w:rFonts w:asciiTheme="minorHAnsi" w:hAnsiTheme="minorHAnsi" w:cstheme="minorHAnsi"/>
          <w:color w:val="404040" w:themeColor="text1" w:themeTint="BF"/>
          <w:sz w:val="18"/>
        </w:rPr>
      </w:pPr>
    </w:p>
    <w:p w:rsidR="00911467" w:rsidRDefault="00911467" w:rsidP="00EE2D77">
      <w:pPr>
        <w:rPr>
          <w:rFonts w:asciiTheme="minorHAnsi" w:hAnsiTheme="minorHAnsi" w:cstheme="minorHAnsi"/>
          <w:color w:val="404040" w:themeColor="text1" w:themeTint="BF"/>
          <w:sz w:val="18"/>
        </w:rPr>
      </w:pPr>
    </w:p>
    <w:p w:rsidR="00911467" w:rsidRDefault="00911467" w:rsidP="00EE2D77">
      <w:pPr>
        <w:rPr>
          <w:rFonts w:asciiTheme="minorHAnsi" w:hAnsiTheme="minorHAnsi" w:cstheme="minorHAnsi"/>
          <w:color w:val="404040" w:themeColor="text1" w:themeTint="BF"/>
          <w:sz w:val="18"/>
        </w:rPr>
      </w:pPr>
    </w:p>
    <w:p w:rsidR="00911467" w:rsidRPr="00EE2D77" w:rsidRDefault="00911467" w:rsidP="00EE2D77">
      <w:pPr>
        <w:rPr>
          <w:rFonts w:asciiTheme="minorHAnsi" w:hAnsiTheme="minorHAnsi" w:cstheme="minorHAnsi"/>
          <w:color w:val="404040" w:themeColor="text1" w:themeTint="BF"/>
          <w:sz w:val="18"/>
        </w:rPr>
      </w:pPr>
      <w:bookmarkStart w:id="0" w:name="_GoBack"/>
      <w:bookmarkEnd w:id="0"/>
    </w:p>
    <w:p w:rsidR="00EE2D77" w:rsidRPr="00EE2D77" w:rsidRDefault="00EE2D77" w:rsidP="00EE2D77">
      <w:pPr>
        <w:rPr>
          <w:rFonts w:asciiTheme="minorHAnsi" w:hAnsiTheme="minorHAnsi" w:cstheme="minorHAnsi"/>
          <w:caps/>
          <w:color w:val="404040" w:themeColor="text1" w:themeTint="BF"/>
        </w:rPr>
      </w:pPr>
      <w:r w:rsidRPr="00EE2D77">
        <w:rPr>
          <w:rFonts w:asciiTheme="minorHAnsi" w:hAnsiTheme="minorHAnsi" w:cstheme="minorHAnsi"/>
          <w:color w:val="404040" w:themeColor="text1" w:themeTint="BF"/>
          <w:sz w:val="18"/>
        </w:rPr>
        <w:t>**https://www.ine.cl/prensa/detalle-prensa/2018/12/19/para-2050-se-proyecta-una-poblaci%C3%B3n-de-21-6-millones-de-personas-en-chile</w:t>
      </w:r>
    </w:p>
    <w:sectPr w:rsidR="00EE2D77" w:rsidRPr="00EE2D7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323" w:rsidRDefault="002D6323" w:rsidP="00807A18">
      <w:r>
        <w:separator/>
      </w:r>
    </w:p>
  </w:endnote>
  <w:endnote w:type="continuationSeparator" w:id="0">
    <w:p w:rsidR="002D6323" w:rsidRDefault="002D6323" w:rsidP="0080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323" w:rsidRDefault="002D6323" w:rsidP="00807A18">
      <w:r>
        <w:separator/>
      </w:r>
    </w:p>
  </w:footnote>
  <w:footnote w:type="continuationSeparator" w:id="0">
    <w:p w:rsidR="002D6323" w:rsidRDefault="002D6323" w:rsidP="0080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C4C" w:rsidRPr="00695DE4" w:rsidRDefault="00E76C4C">
    <w:pPr>
      <w:pStyle w:val="Encabezado"/>
      <w:rPr>
        <w:i/>
        <w:lang w:val="es-CL"/>
      </w:rPr>
    </w:pPr>
    <w:r w:rsidRPr="00807A18">
      <w:rPr>
        <w:i/>
        <w:noProof/>
      </w:rPr>
      <w:drawing>
        <wp:anchor distT="0" distB="0" distL="114300" distR="114300" simplePos="0" relativeHeight="251658240" behindDoc="0" locked="0" layoutInCell="1" allowOverlap="1">
          <wp:simplePos x="0" y="0"/>
          <wp:positionH relativeFrom="column">
            <wp:posOffset>-1833</wp:posOffset>
          </wp:positionH>
          <wp:positionV relativeFrom="page">
            <wp:posOffset>450215</wp:posOffset>
          </wp:positionV>
          <wp:extent cx="842400" cy="561600"/>
          <wp:effectExtent l="0" t="0" r="0" b="0"/>
          <wp:wrapThrough wrapText="left">
            <wp:wrapPolygon edited="0">
              <wp:start x="0" y="0"/>
              <wp:lineTo x="0" y="20525"/>
              <wp:lineTo x="21014" y="20525"/>
              <wp:lineTo x="2101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senado.png"/>
                  <pic:cNvPicPr/>
                </pic:nvPicPr>
                <pic:blipFill>
                  <a:blip r:embed="rId1">
                    <a:extLst>
                      <a:ext uri="{28A0092B-C50C-407E-A947-70E740481C1C}">
                        <a14:useLocalDpi xmlns:a14="http://schemas.microsoft.com/office/drawing/2010/main" val="0"/>
                      </a:ext>
                    </a:extLst>
                  </a:blip>
                  <a:stretch>
                    <a:fillRect/>
                  </a:stretch>
                </pic:blipFill>
                <pic:spPr>
                  <a:xfrm>
                    <a:off x="0" y="0"/>
                    <a:ext cx="842400" cy="561600"/>
                  </a:xfrm>
                  <a:prstGeom prst="rect">
                    <a:avLst/>
                  </a:prstGeom>
                </pic:spPr>
              </pic:pic>
            </a:graphicData>
          </a:graphic>
          <wp14:sizeRelH relativeFrom="margin">
            <wp14:pctWidth>0</wp14:pctWidth>
          </wp14:sizeRelH>
          <wp14:sizeRelV relativeFrom="margin">
            <wp14:pctHeight>0</wp14:pctHeight>
          </wp14:sizeRelV>
        </wp:anchor>
      </w:drawing>
    </w:r>
    <w:r w:rsidRPr="00695DE4">
      <w:rPr>
        <w:i/>
        <w:lang w:val="es-CL"/>
      </w:rPr>
      <w:t>H. Senadora Luz Ebensperger</w:t>
    </w:r>
  </w:p>
  <w:p w:rsidR="00E76C4C" w:rsidRPr="00695DE4" w:rsidRDefault="00E76C4C">
    <w:pPr>
      <w:pStyle w:val="Encabezado"/>
      <w:rPr>
        <w:i/>
        <w:lang w:val="es-CL"/>
      </w:rPr>
    </w:pPr>
    <w:r w:rsidRPr="00695DE4">
      <w:rPr>
        <w:i/>
        <w:lang w:val="es-CL"/>
      </w:rPr>
      <w:t xml:space="preserve">Autor: Ivette Avaria, </w:t>
    </w:r>
    <w:r w:rsidRPr="00807A18">
      <w:rPr>
        <w:i/>
        <w:lang w:val="es-CL"/>
      </w:rPr>
      <w:t>Asesor</w:t>
    </w:r>
    <w:r w:rsidRPr="00695DE4">
      <w:rPr>
        <w:i/>
        <w:lang w:val="es-CL"/>
      </w:rPr>
      <w:t xml:space="preserve"> Legislativo</w:t>
    </w:r>
  </w:p>
  <w:p w:rsidR="00E76C4C" w:rsidRPr="00695DE4" w:rsidRDefault="00E76C4C">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2E0"/>
    <w:multiLevelType w:val="hybridMultilevel"/>
    <w:tmpl w:val="AEACB0CE"/>
    <w:lvl w:ilvl="0" w:tplc="340A000F">
      <w:start w:val="1"/>
      <w:numFmt w:val="decimal"/>
      <w:lvlText w:val="%1."/>
      <w:lvlJc w:val="left"/>
      <w:pPr>
        <w:ind w:left="1500" w:hanging="360"/>
      </w:p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1" w15:restartNumberingAfterBreak="0">
    <w:nsid w:val="17444C44"/>
    <w:multiLevelType w:val="hybridMultilevel"/>
    <w:tmpl w:val="55843230"/>
    <w:lvl w:ilvl="0" w:tplc="72489D8A">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74F421C"/>
    <w:multiLevelType w:val="hybridMultilevel"/>
    <w:tmpl w:val="5EC07330"/>
    <w:lvl w:ilvl="0" w:tplc="F0E0534E">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9D64B7C"/>
    <w:multiLevelType w:val="hybridMultilevel"/>
    <w:tmpl w:val="D698074A"/>
    <w:lvl w:ilvl="0" w:tplc="0E4A7040">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341EB0"/>
    <w:multiLevelType w:val="hybridMultilevel"/>
    <w:tmpl w:val="E9086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4C73B37"/>
    <w:multiLevelType w:val="hybridMultilevel"/>
    <w:tmpl w:val="136A0E64"/>
    <w:lvl w:ilvl="0" w:tplc="C5803ED6">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18"/>
    <w:rsid w:val="00004C0F"/>
    <w:rsid w:val="00011790"/>
    <w:rsid w:val="000526DC"/>
    <w:rsid w:val="00130910"/>
    <w:rsid w:val="001621B5"/>
    <w:rsid w:val="001941E8"/>
    <w:rsid w:val="00274803"/>
    <w:rsid w:val="00287D50"/>
    <w:rsid w:val="002D6323"/>
    <w:rsid w:val="002E1131"/>
    <w:rsid w:val="00304281"/>
    <w:rsid w:val="0042038C"/>
    <w:rsid w:val="004213D4"/>
    <w:rsid w:val="0044132F"/>
    <w:rsid w:val="00476A46"/>
    <w:rsid w:val="005446C3"/>
    <w:rsid w:val="0057014E"/>
    <w:rsid w:val="00633101"/>
    <w:rsid w:val="006802D6"/>
    <w:rsid w:val="00695DE4"/>
    <w:rsid w:val="006D47F6"/>
    <w:rsid w:val="006F61A2"/>
    <w:rsid w:val="00722DFC"/>
    <w:rsid w:val="00741C35"/>
    <w:rsid w:val="007C4C6B"/>
    <w:rsid w:val="00807A18"/>
    <w:rsid w:val="00850858"/>
    <w:rsid w:val="00862FFF"/>
    <w:rsid w:val="00911467"/>
    <w:rsid w:val="009153B1"/>
    <w:rsid w:val="009239F9"/>
    <w:rsid w:val="00953696"/>
    <w:rsid w:val="00981EB5"/>
    <w:rsid w:val="00991D44"/>
    <w:rsid w:val="00A03C34"/>
    <w:rsid w:val="00A17020"/>
    <w:rsid w:val="00A22B32"/>
    <w:rsid w:val="00A23F97"/>
    <w:rsid w:val="00A405F8"/>
    <w:rsid w:val="00AA6CF1"/>
    <w:rsid w:val="00AB7751"/>
    <w:rsid w:val="00BB6D00"/>
    <w:rsid w:val="00BC0D5D"/>
    <w:rsid w:val="00BC5A28"/>
    <w:rsid w:val="00BD13B2"/>
    <w:rsid w:val="00BF6558"/>
    <w:rsid w:val="00C5605C"/>
    <w:rsid w:val="00CE2EC9"/>
    <w:rsid w:val="00D1567C"/>
    <w:rsid w:val="00D37A3A"/>
    <w:rsid w:val="00D62D99"/>
    <w:rsid w:val="00D65566"/>
    <w:rsid w:val="00D75693"/>
    <w:rsid w:val="00DD348B"/>
    <w:rsid w:val="00E328A9"/>
    <w:rsid w:val="00E469CD"/>
    <w:rsid w:val="00E76C4C"/>
    <w:rsid w:val="00ED5B2E"/>
    <w:rsid w:val="00EE09B3"/>
    <w:rsid w:val="00EE2D77"/>
    <w:rsid w:val="00EE2F2E"/>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AA660"/>
  <w15:chartTrackingRefBased/>
  <w15:docId w15:val="{3845F4C3-BD8D-433B-9707-E9595988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8C"/>
    <w:pPr>
      <w:spacing w:after="0" w:line="240" w:lineRule="auto"/>
    </w:pPr>
    <w:rPr>
      <w:rFonts w:ascii="Times New Roman" w:eastAsia="ヒラギノ角ゴ Pro W3" w:hAnsi="Times New Roman" w:cs="Times New Roman"/>
      <w:color w:val="000000"/>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EncabezadoCar">
    <w:name w:val="Encabezado Car"/>
    <w:basedOn w:val="Fuentedeprrafopredeter"/>
    <w:link w:val="Encabezado"/>
    <w:uiPriority w:val="99"/>
    <w:rsid w:val="00807A18"/>
  </w:style>
  <w:style w:type="paragraph" w:styleId="Piedepgina">
    <w:name w:val="footer"/>
    <w:basedOn w:val="Normal"/>
    <w:link w:val="Piedepgina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PiedepginaCar">
    <w:name w:val="Pie de página Car"/>
    <w:basedOn w:val="Fuentedeprrafopredeter"/>
    <w:link w:val="Piedepgina"/>
    <w:uiPriority w:val="99"/>
    <w:rsid w:val="00807A18"/>
  </w:style>
  <w:style w:type="table" w:styleId="Tablaconcuadrcula">
    <w:name w:val="Table Grid"/>
    <w:basedOn w:val="Tablanormal"/>
    <w:uiPriority w:val="39"/>
    <w:rsid w:val="0028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avaria</dc:creator>
  <cp:keywords/>
  <dc:description/>
  <cp:lastModifiedBy>ivette avaria</cp:lastModifiedBy>
  <cp:revision>2</cp:revision>
  <dcterms:created xsi:type="dcterms:W3CDTF">2019-06-19T19:09:00Z</dcterms:created>
  <dcterms:modified xsi:type="dcterms:W3CDTF">2019-06-19T19:09:00Z</dcterms:modified>
</cp:coreProperties>
</file>