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22293" w14:textId="77777777" w:rsidR="007F4F3F" w:rsidRPr="00BA13D7" w:rsidRDefault="007F4F3F" w:rsidP="007F4F3F">
      <w:pPr>
        <w:jc w:val="center"/>
        <w:rPr>
          <w:rFonts w:ascii="Arial" w:hAnsi="Arial" w:cs="Arial"/>
          <w:b/>
          <w:sz w:val="28"/>
          <w:szCs w:val="28"/>
        </w:rPr>
      </w:pPr>
      <w:r w:rsidRPr="00BA13D7">
        <w:rPr>
          <w:rFonts w:ascii="Arial" w:hAnsi="Arial" w:cs="Arial"/>
          <w:b/>
          <w:sz w:val="28"/>
          <w:szCs w:val="28"/>
        </w:rPr>
        <w:t>ASESORÍA EXTERNA</w:t>
      </w:r>
    </w:p>
    <w:p w14:paraId="49C555B1" w14:textId="77777777" w:rsidR="007F4F3F" w:rsidRPr="00BA13D7" w:rsidRDefault="007F4F3F" w:rsidP="007F4F3F">
      <w:pPr>
        <w:jc w:val="center"/>
        <w:rPr>
          <w:rFonts w:ascii="Arial" w:hAnsi="Arial" w:cs="Arial"/>
          <w:b/>
          <w:sz w:val="28"/>
          <w:szCs w:val="28"/>
        </w:rPr>
      </w:pPr>
      <w:r w:rsidRPr="00BA13D7">
        <w:rPr>
          <w:rFonts w:ascii="Arial" w:hAnsi="Arial" w:cs="Arial"/>
          <w:b/>
          <w:sz w:val="28"/>
          <w:szCs w:val="28"/>
        </w:rPr>
        <w:t>10 de Mayo 2018</w:t>
      </w:r>
    </w:p>
    <w:p w14:paraId="32753D8B" w14:textId="77777777" w:rsidR="007F4F3F" w:rsidRPr="00BA13D7" w:rsidRDefault="007F4F3F" w:rsidP="007F4F3F">
      <w:pPr>
        <w:jc w:val="center"/>
        <w:rPr>
          <w:rFonts w:ascii="Arial" w:hAnsi="Arial" w:cs="Arial"/>
          <w:b/>
          <w:sz w:val="28"/>
          <w:szCs w:val="28"/>
        </w:rPr>
      </w:pPr>
    </w:p>
    <w:p w14:paraId="56C6D9F5" w14:textId="77777777" w:rsidR="007F4F3F" w:rsidRDefault="007F4F3F" w:rsidP="007F4F3F">
      <w:pPr>
        <w:jc w:val="center"/>
        <w:rPr>
          <w:rFonts w:ascii="Arial" w:hAnsi="Arial" w:cs="Arial"/>
          <w:b/>
          <w:sz w:val="28"/>
          <w:szCs w:val="28"/>
        </w:rPr>
      </w:pPr>
    </w:p>
    <w:p w14:paraId="7585704C" w14:textId="77777777" w:rsidR="007F4F3F" w:rsidRDefault="007F4F3F" w:rsidP="007F4F3F">
      <w:pPr>
        <w:jc w:val="center"/>
        <w:rPr>
          <w:rFonts w:ascii="Arial" w:hAnsi="Arial" w:cs="Arial"/>
          <w:b/>
          <w:sz w:val="28"/>
          <w:szCs w:val="28"/>
        </w:rPr>
      </w:pPr>
    </w:p>
    <w:p w14:paraId="1B32092D" w14:textId="77777777" w:rsidR="007F4F3F" w:rsidRDefault="007F4F3F" w:rsidP="007F4F3F">
      <w:pPr>
        <w:jc w:val="center"/>
        <w:rPr>
          <w:rFonts w:ascii="Arial" w:hAnsi="Arial" w:cs="Arial"/>
          <w:b/>
          <w:sz w:val="28"/>
          <w:szCs w:val="28"/>
        </w:rPr>
      </w:pPr>
    </w:p>
    <w:p w14:paraId="6996B6AC" w14:textId="77777777" w:rsidR="007F4F3F" w:rsidRDefault="007F4F3F" w:rsidP="007F4F3F">
      <w:pPr>
        <w:jc w:val="center"/>
        <w:rPr>
          <w:rFonts w:ascii="Arial" w:hAnsi="Arial" w:cs="Arial"/>
          <w:b/>
          <w:sz w:val="28"/>
          <w:szCs w:val="28"/>
        </w:rPr>
      </w:pPr>
    </w:p>
    <w:p w14:paraId="55EACE95" w14:textId="77777777" w:rsidR="007F4F3F" w:rsidRDefault="007F4F3F" w:rsidP="007F4F3F">
      <w:pPr>
        <w:jc w:val="center"/>
        <w:rPr>
          <w:rFonts w:ascii="Arial" w:hAnsi="Arial" w:cs="Arial"/>
          <w:b/>
          <w:sz w:val="28"/>
          <w:szCs w:val="28"/>
        </w:rPr>
      </w:pPr>
    </w:p>
    <w:p w14:paraId="2C040BC3" w14:textId="77777777" w:rsidR="007F4F3F" w:rsidRDefault="007F4F3F" w:rsidP="007F4F3F">
      <w:pPr>
        <w:jc w:val="center"/>
        <w:rPr>
          <w:rFonts w:ascii="Arial" w:hAnsi="Arial" w:cs="Arial"/>
          <w:b/>
          <w:sz w:val="28"/>
          <w:szCs w:val="28"/>
        </w:rPr>
      </w:pPr>
    </w:p>
    <w:p w14:paraId="5C0D301D" w14:textId="77777777" w:rsidR="00C80DD2" w:rsidRDefault="00C80DD2" w:rsidP="007F4F3F">
      <w:pPr>
        <w:jc w:val="center"/>
        <w:rPr>
          <w:rFonts w:ascii="Arial" w:hAnsi="Arial" w:cs="Arial"/>
          <w:b/>
          <w:sz w:val="28"/>
          <w:szCs w:val="28"/>
        </w:rPr>
      </w:pPr>
    </w:p>
    <w:p w14:paraId="00FBACDE" w14:textId="77777777" w:rsidR="00C80DD2" w:rsidRPr="00BA13D7" w:rsidRDefault="00C80DD2" w:rsidP="007F4F3F">
      <w:pPr>
        <w:jc w:val="center"/>
        <w:rPr>
          <w:rFonts w:ascii="Arial" w:hAnsi="Arial" w:cs="Arial"/>
          <w:b/>
          <w:sz w:val="28"/>
          <w:szCs w:val="28"/>
        </w:rPr>
      </w:pPr>
    </w:p>
    <w:p w14:paraId="25A46B64" w14:textId="77777777" w:rsidR="007F4F3F" w:rsidRDefault="007F4F3F" w:rsidP="007F4F3F">
      <w:pPr>
        <w:jc w:val="center"/>
        <w:rPr>
          <w:rFonts w:ascii="Arial" w:hAnsi="Arial" w:cs="Arial"/>
          <w:b/>
          <w:sz w:val="28"/>
          <w:szCs w:val="28"/>
        </w:rPr>
      </w:pPr>
    </w:p>
    <w:p w14:paraId="69E33355" w14:textId="77777777" w:rsidR="00A353ED" w:rsidRPr="00BA13D7" w:rsidRDefault="00A353ED" w:rsidP="007F4F3F">
      <w:pPr>
        <w:jc w:val="center"/>
        <w:rPr>
          <w:rFonts w:ascii="Arial" w:hAnsi="Arial" w:cs="Arial"/>
          <w:b/>
          <w:sz w:val="28"/>
          <w:szCs w:val="28"/>
        </w:rPr>
      </w:pPr>
    </w:p>
    <w:p w14:paraId="2FB89792" w14:textId="77777777" w:rsidR="007F4F3F" w:rsidRPr="00BA13D7" w:rsidRDefault="007F4F3F" w:rsidP="007F4F3F">
      <w:pPr>
        <w:jc w:val="center"/>
        <w:rPr>
          <w:rFonts w:ascii="Arial" w:hAnsi="Arial" w:cs="Arial"/>
          <w:b/>
          <w:sz w:val="28"/>
          <w:szCs w:val="28"/>
        </w:rPr>
      </w:pPr>
    </w:p>
    <w:p w14:paraId="579B9760" w14:textId="77777777" w:rsidR="007F4F3F" w:rsidRPr="00BA13D7" w:rsidRDefault="007F4F3F" w:rsidP="007F4F3F">
      <w:pPr>
        <w:jc w:val="center"/>
        <w:rPr>
          <w:rFonts w:ascii="Arial" w:hAnsi="Arial" w:cs="Arial"/>
          <w:b/>
          <w:sz w:val="28"/>
          <w:szCs w:val="28"/>
        </w:rPr>
      </w:pPr>
    </w:p>
    <w:p w14:paraId="070B27D4" w14:textId="77777777" w:rsidR="007F4F3F" w:rsidRPr="00BA13D7" w:rsidRDefault="007F4F3F" w:rsidP="007F4F3F">
      <w:pPr>
        <w:jc w:val="center"/>
        <w:rPr>
          <w:rFonts w:ascii="Arial" w:hAnsi="Arial" w:cs="Arial"/>
          <w:b/>
          <w:sz w:val="28"/>
          <w:szCs w:val="28"/>
        </w:rPr>
      </w:pPr>
      <w:r w:rsidRPr="00BA13D7">
        <w:rPr>
          <w:rFonts w:ascii="Arial" w:hAnsi="Arial" w:cs="Arial"/>
          <w:b/>
          <w:sz w:val="28"/>
          <w:szCs w:val="28"/>
        </w:rPr>
        <w:t xml:space="preserve">ASESORÍA LEGISLATIVA A </w:t>
      </w:r>
      <w:r>
        <w:rPr>
          <w:rFonts w:ascii="Arial" w:hAnsi="Arial" w:cs="Arial"/>
          <w:b/>
          <w:sz w:val="28"/>
          <w:szCs w:val="28"/>
        </w:rPr>
        <w:t>SENADOR</w:t>
      </w:r>
      <w:r w:rsidRPr="00BA13D7">
        <w:rPr>
          <w:rFonts w:ascii="Arial" w:hAnsi="Arial" w:cs="Arial"/>
          <w:b/>
          <w:sz w:val="28"/>
          <w:szCs w:val="28"/>
        </w:rPr>
        <w:t xml:space="preserve"> FELIPE KAST SOMMERHOFF</w:t>
      </w:r>
    </w:p>
    <w:p w14:paraId="52039D59" w14:textId="039D4551" w:rsidR="007F4F3F" w:rsidRPr="00BA13D7" w:rsidRDefault="00AB2A69" w:rsidP="007F4F3F">
      <w:pPr>
        <w:jc w:val="center"/>
        <w:rPr>
          <w:rFonts w:ascii="Arial" w:hAnsi="Arial" w:cs="Arial"/>
          <w:b/>
          <w:sz w:val="28"/>
          <w:szCs w:val="28"/>
        </w:rPr>
      </w:pPr>
      <w:r>
        <w:rPr>
          <w:rFonts w:ascii="Arial" w:hAnsi="Arial" w:cs="Arial"/>
          <w:b/>
          <w:sz w:val="28"/>
          <w:szCs w:val="28"/>
        </w:rPr>
        <w:t>INFORMANTE: FERNANDA MORALES VIVEROS</w:t>
      </w:r>
      <w:bookmarkStart w:id="0" w:name="_GoBack"/>
      <w:bookmarkEnd w:id="0"/>
    </w:p>
    <w:p w14:paraId="6FB8350C" w14:textId="77777777" w:rsidR="007F4F3F" w:rsidRPr="00BA13D7" w:rsidRDefault="007F4F3F" w:rsidP="007F4F3F">
      <w:pPr>
        <w:jc w:val="center"/>
        <w:rPr>
          <w:rFonts w:ascii="Arial" w:hAnsi="Arial" w:cs="Arial"/>
          <w:b/>
          <w:sz w:val="28"/>
          <w:szCs w:val="28"/>
        </w:rPr>
      </w:pPr>
    </w:p>
    <w:p w14:paraId="08D805C6" w14:textId="77777777" w:rsidR="007F4F3F" w:rsidRPr="00BA13D7" w:rsidRDefault="007F4F3F" w:rsidP="007F4F3F">
      <w:pPr>
        <w:jc w:val="center"/>
        <w:rPr>
          <w:rFonts w:ascii="Arial" w:hAnsi="Arial" w:cs="Arial"/>
          <w:b/>
          <w:sz w:val="28"/>
          <w:szCs w:val="28"/>
        </w:rPr>
      </w:pPr>
    </w:p>
    <w:p w14:paraId="62622C82" w14:textId="77777777" w:rsidR="007F4F3F" w:rsidRPr="00BA13D7" w:rsidRDefault="007F4F3F" w:rsidP="007F4F3F">
      <w:pPr>
        <w:rPr>
          <w:rFonts w:ascii="Arial" w:hAnsi="Arial" w:cs="Arial"/>
          <w:b/>
          <w:sz w:val="28"/>
          <w:szCs w:val="28"/>
        </w:rPr>
      </w:pPr>
    </w:p>
    <w:p w14:paraId="6B525E2D" w14:textId="77777777" w:rsidR="007F4F3F" w:rsidRPr="00BA13D7" w:rsidRDefault="007F4F3F" w:rsidP="007F4F3F">
      <w:pPr>
        <w:rPr>
          <w:rFonts w:ascii="Arial" w:hAnsi="Arial" w:cs="Arial"/>
          <w:b/>
          <w:sz w:val="28"/>
          <w:szCs w:val="28"/>
        </w:rPr>
      </w:pPr>
    </w:p>
    <w:p w14:paraId="51F3D437" w14:textId="77777777" w:rsidR="007F4F3F" w:rsidRPr="00BA13D7" w:rsidRDefault="007F4F3F" w:rsidP="007F4F3F">
      <w:pPr>
        <w:rPr>
          <w:rFonts w:ascii="Arial" w:hAnsi="Arial" w:cs="Arial"/>
          <w:b/>
          <w:sz w:val="28"/>
          <w:szCs w:val="28"/>
        </w:rPr>
      </w:pPr>
    </w:p>
    <w:p w14:paraId="1221232A" w14:textId="77777777" w:rsidR="007F4F3F" w:rsidRPr="00BA13D7" w:rsidRDefault="007F4F3F" w:rsidP="007F4F3F">
      <w:pPr>
        <w:rPr>
          <w:rFonts w:ascii="Arial" w:hAnsi="Arial" w:cs="Arial"/>
          <w:b/>
          <w:sz w:val="28"/>
          <w:szCs w:val="28"/>
        </w:rPr>
      </w:pPr>
    </w:p>
    <w:p w14:paraId="1C4ECC4A" w14:textId="77777777" w:rsidR="007F4F3F" w:rsidRDefault="007F4F3F" w:rsidP="007F4F3F">
      <w:pPr>
        <w:rPr>
          <w:rFonts w:ascii="Arial" w:hAnsi="Arial" w:cs="Arial"/>
          <w:b/>
          <w:sz w:val="28"/>
          <w:szCs w:val="28"/>
        </w:rPr>
      </w:pPr>
    </w:p>
    <w:p w14:paraId="78382804" w14:textId="77777777" w:rsidR="007F4F3F" w:rsidRDefault="007F4F3F" w:rsidP="007F4F3F">
      <w:pPr>
        <w:rPr>
          <w:rFonts w:ascii="Arial" w:hAnsi="Arial" w:cs="Arial"/>
          <w:b/>
          <w:sz w:val="28"/>
          <w:szCs w:val="28"/>
        </w:rPr>
      </w:pPr>
    </w:p>
    <w:p w14:paraId="1D642986" w14:textId="77777777" w:rsidR="007F4F3F" w:rsidRDefault="007F4F3F" w:rsidP="007F4F3F">
      <w:pPr>
        <w:rPr>
          <w:rFonts w:ascii="Arial" w:hAnsi="Arial" w:cs="Arial"/>
          <w:b/>
          <w:sz w:val="28"/>
          <w:szCs w:val="28"/>
        </w:rPr>
      </w:pPr>
    </w:p>
    <w:p w14:paraId="2699CE20" w14:textId="77777777" w:rsidR="007F4F3F" w:rsidRPr="00BA13D7" w:rsidRDefault="007F4F3F" w:rsidP="007F4F3F">
      <w:pPr>
        <w:rPr>
          <w:rFonts w:ascii="Arial" w:hAnsi="Arial" w:cs="Arial"/>
          <w:b/>
          <w:sz w:val="28"/>
          <w:szCs w:val="28"/>
        </w:rPr>
      </w:pPr>
    </w:p>
    <w:p w14:paraId="15FFF80B" w14:textId="77777777" w:rsidR="007F4F3F" w:rsidRDefault="007F4F3F" w:rsidP="007F4F3F">
      <w:pPr>
        <w:rPr>
          <w:rFonts w:ascii="Arial" w:hAnsi="Arial" w:cs="Arial"/>
          <w:b/>
          <w:sz w:val="28"/>
          <w:szCs w:val="28"/>
        </w:rPr>
      </w:pPr>
    </w:p>
    <w:p w14:paraId="2504DDBE" w14:textId="77777777" w:rsidR="009271A6" w:rsidRPr="00BA13D7" w:rsidRDefault="009271A6" w:rsidP="007F4F3F">
      <w:pPr>
        <w:rPr>
          <w:rFonts w:ascii="Arial" w:hAnsi="Arial" w:cs="Arial"/>
          <w:b/>
          <w:sz w:val="28"/>
          <w:szCs w:val="28"/>
        </w:rPr>
      </w:pPr>
    </w:p>
    <w:p w14:paraId="17DB8A93" w14:textId="77777777" w:rsidR="007F4F3F" w:rsidRPr="00BA13D7" w:rsidRDefault="007F4F3F" w:rsidP="007F4F3F">
      <w:pPr>
        <w:rPr>
          <w:rFonts w:ascii="Arial" w:hAnsi="Arial" w:cs="Arial"/>
          <w:b/>
          <w:sz w:val="28"/>
          <w:szCs w:val="28"/>
        </w:rPr>
      </w:pPr>
    </w:p>
    <w:p w14:paraId="5C5FF54E" w14:textId="77777777" w:rsidR="007F4F3F" w:rsidRPr="00BA13D7" w:rsidRDefault="007F4F3F" w:rsidP="007F4F3F">
      <w:pPr>
        <w:rPr>
          <w:rFonts w:ascii="Arial" w:hAnsi="Arial" w:cs="Arial"/>
          <w:b/>
          <w:sz w:val="28"/>
          <w:szCs w:val="28"/>
        </w:rPr>
      </w:pPr>
    </w:p>
    <w:p w14:paraId="68528B3F" w14:textId="77777777" w:rsidR="007F4F3F" w:rsidRPr="00BA13D7" w:rsidRDefault="007F4F3F" w:rsidP="007F4F3F">
      <w:pPr>
        <w:rPr>
          <w:rFonts w:ascii="Arial" w:hAnsi="Arial" w:cs="Arial"/>
          <w:b/>
          <w:sz w:val="28"/>
          <w:szCs w:val="28"/>
        </w:rPr>
      </w:pPr>
    </w:p>
    <w:p w14:paraId="41B4EEE4" w14:textId="77777777" w:rsidR="007F4F3F" w:rsidRPr="00BA13D7" w:rsidRDefault="007F4F3F" w:rsidP="007F4F3F">
      <w:pPr>
        <w:jc w:val="center"/>
        <w:rPr>
          <w:rFonts w:ascii="Arial" w:hAnsi="Arial" w:cs="Arial"/>
          <w:b/>
          <w:sz w:val="28"/>
          <w:szCs w:val="28"/>
        </w:rPr>
      </w:pPr>
      <w:r w:rsidRPr="00BA13D7">
        <w:rPr>
          <w:rFonts w:ascii="Arial" w:hAnsi="Arial" w:cs="Arial"/>
          <w:b/>
          <w:sz w:val="28"/>
          <w:szCs w:val="28"/>
        </w:rPr>
        <w:t>MAYO 2018</w:t>
      </w:r>
    </w:p>
    <w:p w14:paraId="553D7618" w14:textId="77777777" w:rsidR="007F4F3F" w:rsidRPr="00BA13D7" w:rsidRDefault="007F4F3F" w:rsidP="007F4F3F">
      <w:pPr>
        <w:jc w:val="center"/>
        <w:rPr>
          <w:rFonts w:ascii="Arial" w:hAnsi="Arial" w:cs="Arial"/>
          <w:b/>
          <w:sz w:val="28"/>
          <w:szCs w:val="28"/>
        </w:rPr>
      </w:pPr>
    </w:p>
    <w:p w14:paraId="31E86BAF" w14:textId="77777777" w:rsidR="007F4F3F" w:rsidRDefault="007F4F3F" w:rsidP="00572A33">
      <w:pPr>
        <w:shd w:val="clear" w:color="auto" w:fill="FFFFFF"/>
        <w:spacing w:after="450" w:line="312" w:lineRule="atLeast"/>
        <w:jc w:val="both"/>
        <w:outlineLvl w:val="1"/>
        <w:rPr>
          <w:rFonts w:ascii="Calibri" w:eastAsia="Times New Roman" w:hAnsi="Calibri" w:cs="Times New Roman"/>
          <w:iCs/>
          <w:color w:val="000000" w:themeColor="text1"/>
        </w:rPr>
      </w:pPr>
    </w:p>
    <w:p w14:paraId="3C77E0CE" w14:textId="77777777" w:rsidR="007F4F3F" w:rsidRDefault="007F4F3F" w:rsidP="00572A33">
      <w:pPr>
        <w:shd w:val="clear" w:color="auto" w:fill="FFFFFF"/>
        <w:spacing w:after="450" w:line="312" w:lineRule="atLeast"/>
        <w:jc w:val="both"/>
        <w:outlineLvl w:val="1"/>
        <w:rPr>
          <w:rFonts w:ascii="Calibri" w:eastAsia="Times New Roman" w:hAnsi="Calibri" w:cs="Times New Roman"/>
          <w:iCs/>
          <w:color w:val="000000" w:themeColor="text1"/>
        </w:rPr>
      </w:pPr>
    </w:p>
    <w:p w14:paraId="126CEFCC" w14:textId="77777777" w:rsidR="007F4F3F" w:rsidRDefault="007F4F3F" w:rsidP="00572A33">
      <w:pPr>
        <w:shd w:val="clear" w:color="auto" w:fill="FFFFFF"/>
        <w:spacing w:after="450" w:line="312" w:lineRule="atLeast"/>
        <w:jc w:val="both"/>
        <w:outlineLvl w:val="1"/>
        <w:rPr>
          <w:rFonts w:ascii="Calibri" w:eastAsia="Times New Roman" w:hAnsi="Calibri" w:cs="Times New Roman"/>
          <w:iCs/>
          <w:color w:val="000000" w:themeColor="text1"/>
        </w:rPr>
      </w:pPr>
    </w:p>
    <w:p w14:paraId="768CC738" w14:textId="03B90217" w:rsidR="007F4F3F" w:rsidRDefault="007F4F3F" w:rsidP="00572A33">
      <w:pPr>
        <w:shd w:val="clear" w:color="auto" w:fill="FFFFFF"/>
        <w:spacing w:after="450" w:line="312" w:lineRule="atLeast"/>
        <w:jc w:val="both"/>
        <w:outlineLvl w:val="1"/>
        <w:rPr>
          <w:rFonts w:ascii="Calibri" w:eastAsia="Times New Roman" w:hAnsi="Calibri" w:cs="Times New Roman"/>
          <w:b/>
          <w:iCs/>
          <w:color w:val="000000" w:themeColor="text1"/>
        </w:rPr>
      </w:pPr>
      <w:r w:rsidRPr="007F4F3F">
        <w:rPr>
          <w:rFonts w:ascii="Calibri" w:eastAsia="Times New Roman" w:hAnsi="Calibri" w:cs="Times New Roman"/>
          <w:b/>
          <w:iCs/>
          <w:color w:val="000000" w:themeColor="text1"/>
        </w:rPr>
        <w:lastRenderedPageBreak/>
        <w:t>SITUACIÓN INFANCIA REGIÓN DE LA ARAUCANÍA</w:t>
      </w:r>
    </w:p>
    <w:p w14:paraId="54063259" w14:textId="532C616A" w:rsidR="00A14E58" w:rsidRPr="007F4F3F" w:rsidRDefault="00A14E58" w:rsidP="00572A33">
      <w:pPr>
        <w:shd w:val="clear" w:color="auto" w:fill="FFFFFF"/>
        <w:spacing w:after="450" w:line="312" w:lineRule="atLeast"/>
        <w:jc w:val="both"/>
        <w:outlineLvl w:val="1"/>
        <w:rPr>
          <w:rFonts w:ascii="Calibri" w:eastAsia="Times New Roman" w:hAnsi="Calibri" w:cs="Times New Roman"/>
          <w:b/>
          <w:iCs/>
          <w:color w:val="000000" w:themeColor="text1"/>
        </w:rPr>
      </w:pPr>
      <w:r>
        <w:rPr>
          <w:rFonts w:ascii="Calibri" w:eastAsia="Times New Roman" w:hAnsi="Calibri" w:cs="Times New Roman"/>
          <w:b/>
          <w:iCs/>
          <w:color w:val="000000" w:themeColor="text1"/>
        </w:rPr>
        <w:t>Desigualdad en el financiamiento institucional</w:t>
      </w:r>
      <w:r w:rsidR="00405016">
        <w:rPr>
          <w:rFonts w:ascii="Calibri" w:eastAsia="Times New Roman" w:hAnsi="Calibri" w:cs="Times New Roman"/>
          <w:b/>
          <w:iCs/>
          <w:color w:val="000000" w:themeColor="text1"/>
        </w:rPr>
        <w:t xml:space="preserve"> de NNA</w:t>
      </w:r>
    </w:p>
    <w:p w14:paraId="1A172186" w14:textId="15691A30" w:rsidR="002A1633" w:rsidRPr="00572A33" w:rsidRDefault="007F4F3F"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Según un informe de la Cepal, l</w:t>
      </w:r>
      <w:r w:rsidR="002A1633" w:rsidRPr="00572A33">
        <w:rPr>
          <w:rFonts w:ascii="Calibri" w:eastAsia="Times New Roman" w:hAnsi="Calibri" w:cs="Times New Roman"/>
          <w:iCs/>
          <w:color w:val="000000" w:themeColor="text1"/>
        </w:rPr>
        <w:t>a pobreza infantil constituye, de modo particular, una de las formas más graves de violación de los derechos humanos y, por tanto, una condición que reproduce y amplía las brechas de</w:t>
      </w:r>
      <w:r>
        <w:rPr>
          <w:rFonts w:ascii="Calibri" w:eastAsia="Times New Roman" w:hAnsi="Calibri" w:cs="Times New Roman"/>
          <w:iCs/>
          <w:color w:val="000000" w:themeColor="text1"/>
        </w:rPr>
        <w:t xml:space="preserve"> desigualdad y exclusión social. Esta situación, que es una de las primeras luchas que </w:t>
      </w:r>
      <w:r w:rsidR="00220E40">
        <w:rPr>
          <w:rFonts w:ascii="Calibri" w:eastAsia="Times New Roman" w:hAnsi="Calibri" w:cs="Times New Roman"/>
          <w:iCs/>
          <w:color w:val="000000" w:themeColor="text1"/>
        </w:rPr>
        <w:t xml:space="preserve">se </w:t>
      </w:r>
      <w:r>
        <w:rPr>
          <w:rFonts w:ascii="Calibri" w:eastAsia="Times New Roman" w:hAnsi="Calibri" w:cs="Times New Roman"/>
          <w:iCs/>
          <w:color w:val="000000" w:themeColor="text1"/>
        </w:rPr>
        <w:t>enfrenta</w:t>
      </w:r>
      <w:r w:rsidR="00220E40">
        <w:rPr>
          <w:rFonts w:ascii="Calibri" w:eastAsia="Times New Roman" w:hAnsi="Calibri" w:cs="Times New Roman"/>
          <w:iCs/>
          <w:color w:val="000000" w:themeColor="text1"/>
        </w:rPr>
        <w:t xml:space="preserve"> en el mundo</w:t>
      </w:r>
      <w:r>
        <w:rPr>
          <w:rFonts w:ascii="Calibri" w:eastAsia="Times New Roman" w:hAnsi="Calibri" w:cs="Times New Roman"/>
          <w:iCs/>
          <w:color w:val="000000" w:themeColor="text1"/>
        </w:rPr>
        <w:t xml:space="preserve"> mediante la Unicef, i</w:t>
      </w:r>
      <w:r w:rsidR="002A1633" w:rsidRPr="00572A33">
        <w:rPr>
          <w:rFonts w:ascii="Calibri" w:eastAsia="Times New Roman" w:hAnsi="Calibri" w:cs="Times New Roman"/>
          <w:iCs/>
          <w:color w:val="000000" w:themeColor="text1"/>
        </w:rPr>
        <w:t>mplica que niños, niñas y adolescentes no gozan plenamente de sus derechos (nutrición, agua, acceso a servicios básicos de salud, abrigo, educación, participación y protección, entre otros) y en consecuencia, se vean limitados para alcanzar sus metas y participar activamente de la sociedad</w:t>
      </w:r>
      <w:r w:rsidR="00AB2A69">
        <w:rPr>
          <w:rStyle w:val="FootnoteReference"/>
          <w:rFonts w:ascii="Calibri" w:eastAsia="Times New Roman" w:hAnsi="Calibri" w:cs="Times New Roman"/>
          <w:iCs/>
          <w:color w:val="000000" w:themeColor="text1"/>
        </w:rPr>
        <w:footnoteReference w:id="1"/>
      </w:r>
      <w:r>
        <w:rPr>
          <w:rFonts w:ascii="Calibri" w:eastAsia="Times New Roman" w:hAnsi="Calibri" w:cs="Times New Roman"/>
          <w:iCs/>
          <w:color w:val="000000" w:themeColor="text1"/>
        </w:rPr>
        <w:t>.</w:t>
      </w:r>
      <w:r w:rsidR="002A1633" w:rsidRPr="00572A33">
        <w:rPr>
          <w:rFonts w:ascii="Calibri" w:eastAsia="Times New Roman" w:hAnsi="Calibri" w:cs="Times New Roman"/>
          <w:iCs/>
          <w:color w:val="000000" w:themeColor="text1"/>
        </w:rPr>
        <w:t xml:space="preserve"> </w:t>
      </w:r>
    </w:p>
    <w:p w14:paraId="4D8F5A09" w14:textId="5FEC4019" w:rsidR="007F4F3F" w:rsidRDefault="007F4F3F"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 xml:space="preserve">En Chile, la situación de los niños ha ocupado las portadas de los diarios en </w:t>
      </w:r>
      <w:r w:rsidR="008562FC">
        <w:rPr>
          <w:rFonts w:ascii="Calibri" w:eastAsia="Times New Roman" w:hAnsi="Calibri" w:cs="Times New Roman"/>
          <w:iCs/>
          <w:color w:val="000000" w:themeColor="text1"/>
        </w:rPr>
        <w:t>el último año</w:t>
      </w:r>
      <w:r>
        <w:rPr>
          <w:rFonts w:ascii="Calibri" w:eastAsia="Times New Roman" w:hAnsi="Calibri" w:cs="Times New Roman"/>
          <w:iCs/>
          <w:color w:val="000000" w:themeColor="text1"/>
        </w:rPr>
        <w:t xml:space="preserve"> y copado la agenda del gobierno y el Congreso, actores que</w:t>
      </w:r>
      <w:r w:rsidR="008562FC">
        <w:rPr>
          <w:rFonts w:ascii="Calibri" w:eastAsia="Times New Roman" w:hAnsi="Calibri" w:cs="Times New Roman"/>
          <w:iCs/>
          <w:color w:val="000000" w:themeColor="text1"/>
        </w:rPr>
        <w:t xml:space="preserve"> han</w:t>
      </w:r>
      <w:r>
        <w:rPr>
          <w:rFonts w:ascii="Calibri" w:eastAsia="Times New Roman" w:hAnsi="Calibri" w:cs="Times New Roman"/>
          <w:iCs/>
          <w:color w:val="000000" w:themeColor="text1"/>
        </w:rPr>
        <w:t xml:space="preserve"> propenden sobre todo a ordenar la lamentable situación en la que se encuentra la institucionalidad infantil </w:t>
      </w:r>
      <w:r w:rsidR="008562FC">
        <w:rPr>
          <w:rFonts w:ascii="Calibri" w:eastAsia="Times New Roman" w:hAnsi="Calibri" w:cs="Times New Roman"/>
          <w:iCs/>
          <w:color w:val="000000" w:themeColor="text1"/>
        </w:rPr>
        <w:t>para rescatar del abandono a este vulnerable segmento de la población</w:t>
      </w:r>
      <w:r>
        <w:rPr>
          <w:rFonts w:ascii="Calibri" w:eastAsia="Times New Roman" w:hAnsi="Calibri" w:cs="Times New Roman"/>
          <w:iCs/>
          <w:color w:val="000000" w:themeColor="text1"/>
        </w:rPr>
        <w:t xml:space="preserve">. </w:t>
      </w:r>
    </w:p>
    <w:p w14:paraId="66BE76C7" w14:textId="6039BCBB" w:rsidR="008562FC" w:rsidRDefault="007F4F3F"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 xml:space="preserve">Si bien ese abandono es generalizado, existen matices respecto de la relevancia que se le ha dado a ciertas zonas del país en detrimento de otras, que han sido sin justificación apartadas a su suerte. Un ejemplo de lo anterior </w:t>
      </w:r>
      <w:r w:rsidR="008562FC">
        <w:rPr>
          <w:rFonts w:ascii="Calibri" w:eastAsia="Times New Roman" w:hAnsi="Calibri" w:cs="Times New Roman"/>
          <w:iCs/>
          <w:color w:val="000000" w:themeColor="text1"/>
        </w:rPr>
        <w:t>se obtiene a partir del informe realizado por el Centro de Estudios Plural, que muestra notables diferencias en las asignaciones para los centros administrados por el Sename, los cuales llegan a tener entre uno y otro hasta</w:t>
      </w:r>
      <w:r w:rsidR="008562FC" w:rsidRPr="009271A6">
        <w:rPr>
          <w:rFonts w:ascii="Calibri" w:eastAsia="Times New Roman" w:hAnsi="Calibri" w:cs="Times New Roman"/>
          <w:b/>
          <w:iCs/>
          <w:color w:val="000000" w:themeColor="text1"/>
        </w:rPr>
        <w:t xml:space="preserve"> 400% de disparidad en sus recursos</w:t>
      </w:r>
      <w:r w:rsidR="008562FC">
        <w:rPr>
          <w:rFonts w:ascii="Calibri" w:eastAsia="Times New Roman" w:hAnsi="Calibri" w:cs="Times New Roman"/>
          <w:iCs/>
          <w:color w:val="000000" w:themeColor="text1"/>
        </w:rPr>
        <w:t>.</w:t>
      </w:r>
    </w:p>
    <w:p w14:paraId="58C0BA68" w14:textId="7028BB52" w:rsidR="003616FA" w:rsidRDefault="009B1A18"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La magnitud de la diferencia</w:t>
      </w:r>
      <w:r w:rsidR="003616FA">
        <w:rPr>
          <w:rFonts w:ascii="Calibri" w:eastAsia="Times New Roman" w:hAnsi="Calibri" w:cs="Times New Roman"/>
          <w:iCs/>
          <w:color w:val="000000" w:themeColor="text1"/>
        </w:rPr>
        <w:t xml:space="preserve"> existente entre los</w:t>
      </w:r>
      <w:r w:rsidR="00220E40">
        <w:rPr>
          <w:rFonts w:ascii="Calibri" w:eastAsia="Times New Roman" w:hAnsi="Calibri" w:cs="Times New Roman"/>
          <w:iCs/>
          <w:color w:val="000000" w:themeColor="text1"/>
        </w:rPr>
        <w:t xml:space="preserve"> distintos c</w:t>
      </w:r>
      <w:r w:rsidR="003616FA">
        <w:rPr>
          <w:rFonts w:ascii="Calibri" w:eastAsia="Times New Roman" w:hAnsi="Calibri" w:cs="Times New Roman"/>
          <w:iCs/>
          <w:color w:val="000000" w:themeColor="text1"/>
        </w:rPr>
        <w:t>entros</w:t>
      </w:r>
      <w:r w:rsidR="00220E40">
        <w:rPr>
          <w:rFonts w:ascii="Calibri" w:eastAsia="Times New Roman" w:hAnsi="Calibri" w:cs="Times New Roman"/>
          <w:iCs/>
          <w:color w:val="000000" w:themeColor="text1"/>
        </w:rPr>
        <w:t xml:space="preserve"> </w:t>
      </w:r>
      <w:r>
        <w:rPr>
          <w:rFonts w:ascii="Calibri" w:eastAsia="Times New Roman" w:hAnsi="Calibri" w:cs="Times New Roman"/>
          <w:iCs/>
          <w:color w:val="000000" w:themeColor="text1"/>
        </w:rPr>
        <w:t>se puede observar claramente comparando el Centro</w:t>
      </w:r>
      <w:r w:rsidR="003616FA">
        <w:rPr>
          <w:rFonts w:ascii="Calibri" w:eastAsia="Times New Roman" w:hAnsi="Calibri" w:cs="Times New Roman"/>
          <w:iCs/>
          <w:color w:val="000000" w:themeColor="text1"/>
        </w:rPr>
        <w:t xml:space="preserve"> Metropolitano Norte respecto </w:t>
      </w:r>
      <w:r w:rsidR="00CE49C5">
        <w:rPr>
          <w:rFonts w:ascii="Calibri" w:eastAsia="Times New Roman" w:hAnsi="Calibri" w:cs="Times New Roman"/>
          <w:iCs/>
          <w:color w:val="000000" w:themeColor="text1"/>
        </w:rPr>
        <w:t>de su símil</w:t>
      </w:r>
      <w:r w:rsidR="003616FA">
        <w:rPr>
          <w:rFonts w:ascii="Calibri" w:eastAsia="Times New Roman" w:hAnsi="Calibri" w:cs="Times New Roman"/>
          <w:iCs/>
          <w:color w:val="000000" w:themeColor="text1"/>
        </w:rPr>
        <w:t xml:space="preserve"> de Arica. El primero recibe $822.769 al mes por menor para su cuidado, mientras que el segundo sólo obtiene $156.809 por niño. Los menores de esa zona de la Región Metropolitana, sólo por vivir </w:t>
      </w:r>
      <w:r w:rsidR="00CE49C5">
        <w:rPr>
          <w:rFonts w:ascii="Calibri" w:eastAsia="Times New Roman" w:hAnsi="Calibri" w:cs="Times New Roman"/>
          <w:iCs/>
          <w:color w:val="000000" w:themeColor="text1"/>
        </w:rPr>
        <w:t>ahí</w:t>
      </w:r>
      <w:r w:rsidR="003616FA">
        <w:rPr>
          <w:rFonts w:ascii="Calibri" w:eastAsia="Times New Roman" w:hAnsi="Calibri" w:cs="Times New Roman"/>
          <w:iCs/>
          <w:color w:val="000000" w:themeColor="text1"/>
        </w:rPr>
        <w:t>, tienen cuatro veces más recursos destinados a su cuidado que aquellos pares que nacieron en Arica</w:t>
      </w:r>
      <w:r w:rsidR="00AB2A69">
        <w:rPr>
          <w:rStyle w:val="FootnoteReference"/>
          <w:rFonts w:ascii="Calibri" w:eastAsia="Times New Roman" w:hAnsi="Calibri" w:cs="Times New Roman"/>
          <w:b/>
          <w:iCs/>
          <w:color w:val="000000" w:themeColor="text1"/>
        </w:rPr>
        <w:footnoteReference w:id="2"/>
      </w:r>
      <w:r w:rsidR="00AB2A69">
        <w:rPr>
          <w:rFonts w:ascii="Calibri" w:eastAsia="Times New Roman" w:hAnsi="Calibri" w:cs="Times New Roman"/>
          <w:iCs/>
          <w:color w:val="000000" w:themeColor="text1"/>
        </w:rPr>
        <w:t>.</w:t>
      </w:r>
      <w:r w:rsidR="003616FA">
        <w:rPr>
          <w:rFonts w:ascii="Calibri" w:eastAsia="Times New Roman" w:hAnsi="Calibri" w:cs="Times New Roman"/>
          <w:iCs/>
          <w:color w:val="000000" w:themeColor="text1"/>
        </w:rPr>
        <w:t xml:space="preserve">. </w:t>
      </w:r>
    </w:p>
    <w:p w14:paraId="0ED6CAE2" w14:textId="2240EE09" w:rsidR="009B1A18" w:rsidRDefault="003616FA"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Tan sólo un escalón más arriba en la tabla de la desigualdad se encuentra Chol Chol, de la IX Región, que con una capacidad de 134 jóvenes, tiene un valor de atenció</w:t>
      </w:r>
      <w:r w:rsidR="00CE49C5">
        <w:rPr>
          <w:rFonts w:ascii="Calibri" w:eastAsia="Times New Roman" w:hAnsi="Calibri" w:cs="Times New Roman"/>
          <w:iCs/>
          <w:color w:val="000000" w:themeColor="text1"/>
        </w:rPr>
        <w:t xml:space="preserve">n por menor </w:t>
      </w:r>
      <w:r>
        <w:rPr>
          <w:rFonts w:ascii="Calibri" w:eastAsia="Times New Roman" w:hAnsi="Calibri" w:cs="Times New Roman"/>
          <w:iCs/>
          <w:color w:val="000000" w:themeColor="text1"/>
        </w:rPr>
        <w:t xml:space="preserve">de $2.389.936 al </w:t>
      </w:r>
      <w:r w:rsidR="009B1A18">
        <w:rPr>
          <w:rFonts w:ascii="Calibri" w:eastAsia="Times New Roman" w:hAnsi="Calibri" w:cs="Times New Roman"/>
          <w:iCs/>
          <w:color w:val="000000" w:themeColor="text1"/>
        </w:rPr>
        <w:t>año</w:t>
      </w:r>
      <w:r>
        <w:rPr>
          <w:rFonts w:ascii="Calibri" w:eastAsia="Times New Roman" w:hAnsi="Calibri" w:cs="Times New Roman"/>
          <w:iCs/>
          <w:color w:val="000000" w:themeColor="text1"/>
        </w:rPr>
        <w:t xml:space="preserve"> y de $199.161 al mes.</w:t>
      </w:r>
      <w:r w:rsidR="009B1A18">
        <w:rPr>
          <w:rFonts w:ascii="Calibri" w:eastAsia="Times New Roman" w:hAnsi="Calibri" w:cs="Times New Roman"/>
          <w:iCs/>
          <w:color w:val="000000" w:themeColor="text1"/>
        </w:rPr>
        <w:t xml:space="preserve"> Es decir, que con la asignación establecida para un niño en Santiago, se puede atender a cuatro en La Araucanía.</w:t>
      </w:r>
      <w:r>
        <w:rPr>
          <w:rFonts w:ascii="Calibri" w:eastAsia="Times New Roman" w:hAnsi="Calibri" w:cs="Times New Roman"/>
          <w:iCs/>
          <w:color w:val="000000" w:themeColor="text1"/>
        </w:rPr>
        <w:t xml:space="preserve"> </w:t>
      </w:r>
      <w:r w:rsidR="00CE49C5">
        <w:rPr>
          <w:rFonts w:ascii="Calibri" w:eastAsia="Times New Roman" w:hAnsi="Calibri" w:cs="Times New Roman"/>
          <w:iCs/>
          <w:color w:val="000000" w:themeColor="text1"/>
        </w:rPr>
        <w:t>Por esto es inevitable plantear</w:t>
      </w:r>
      <w:r w:rsidR="009B1A18">
        <w:rPr>
          <w:rFonts w:ascii="Calibri" w:eastAsia="Times New Roman" w:hAnsi="Calibri" w:cs="Times New Roman"/>
          <w:iCs/>
          <w:color w:val="000000" w:themeColor="text1"/>
        </w:rPr>
        <w:t>se</w:t>
      </w:r>
      <w:r w:rsidR="00CE49C5">
        <w:rPr>
          <w:rFonts w:ascii="Calibri" w:eastAsia="Times New Roman" w:hAnsi="Calibri" w:cs="Times New Roman"/>
          <w:iCs/>
          <w:color w:val="000000" w:themeColor="text1"/>
        </w:rPr>
        <w:t xml:space="preserve"> la</w:t>
      </w:r>
      <w:r w:rsidR="009B1A18">
        <w:rPr>
          <w:rFonts w:ascii="Calibri" w:eastAsia="Times New Roman" w:hAnsi="Calibri" w:cs="Times New Roman"/>
          <w:iCs/>
          <w:color w:val="000000" w:themeColor="text1"/>
        </w:rPr>
        <w:t>s</w:t>
      </w:r>
      <w:r w:rsidR="00CE49C5">
        <w:rPr>
          <w:rFonts w:ascii="Calibri" w:eastAsia="Times New Roman" w:hAnsi="Calibri" w:cs="Times New Roman"/>
          <w:iCs/>
          <w:color w:val="000000" w:themeColor="text1"/>
        </w:rPr>
        <w:t xml:space="preserve"> </w:t>
      </w:r>
      <w:r w:rsidR="009B1A18">
        <w:rPr>
          <w:rFonts w:ascii="Calibri" w:eastAsia="Times New Roman" w:hAnsi="Calibri" w:cs="Times New Roman"/>
          <w:iCs/>
          <w:color w:val="000000" w:themeColor="text1"/>
        </w:rPr>
        <w:t>interrogantes</w:t>
      </w:r>
      <w:r w:rsidR="00CE49C5">
        <w:rPr>
          <w:rFonts w:ascii="Calibri" w:eastAsia="Times New Roman" w:hAnsi="Calibri" w:cs="Times New Roman"/>
          <w:iCs/>
          <w:color w:val="000000" w:themeColor="text1"/>
        </w:rPr>
        <w:t xml:space="preserve">: </w:t>
      </w:r>
      <w:r w:rsidR="009B1A18">
        <w:rPr>
          <w:rFonts w:ascii="Calibri" w:eastAsia="Times New Roman" w:hAnsi="Calibri" w:cs="Times New Roman"/>
          <w:iCs/>
          <w:color w:val="000000" w:themeColor="text1"/>
        </w:rPr>
        <w:t xml:space="preserve">¿Necesita menos cuidados un niño del Sur que uno capitalino? </w:t>
      </w:r>
      <w:r w:rsidR="00066C6E">
        <w:rPr>
          <w:rFonts w:ascii="Calibri" w:eastAsia="Times New Roman" w:hAnsi="Calibri" w:cs="Times New Roman"/>
          <w:iCs/>
          <w:color w:val="000000" w:themeColor="text1"/>
        </w:rPr>
        <w:t>¿Qué criterios se usan para determinar a qué centro entregar más dinero?</w:t>
      </w:r>
      <w:r w:rsidR="00CE49C5">
        <w:rPr>
          <w:rFonts w:ascii="Calibri" w:eastAsia="Times New Roman" w:hAnsi="Calibri" w:cs="Times New Roman"/>
          <w:iCs/>
          <w:color w:val="000000" w:themeColor="text1"/>
        </w:rPr>
        <w:t xml:space="preserve"> ¿</w:t>
      </w:r>
      <w:r w:rsidR="009B1A18">
        <w:rPr>
          <w:rFonts w:ascii="Calibri" w:eastAsia="Times New Roman" w:hAnsi="Calibri" w:cs="Times New Roman"/>
          <w:iCs/>
          <w:color w:val="000000" w:themeColor="text1"/>
        </w:rPr>
        <w:t>Qué circunstancia permite asignar</w:t>
      </w:r>
      <w:r w:rsidR="00CE49C5">
        <w:rPr>
          <w:rFonts w:ascii="Calibri" w:eastAsia="Times New Roman" w:hAnsi="Calibri" w:cs="Times New Roman"/>
          <w:iCs/>
          <w:color w:val="000000" w:themeColor="text1"/>
        </w:rPr>
        <w:t xml:space="preserve"> más valor a unos niños en desmedro de otros? </w:t>
      </w:r>
      <w:r w:rsidR="009B1A18">
        <w:rPr>
          <w:rFonts w:ascii="Calibri" w:eastAsia="Times New Roman" w:hAnsi="Calibri" w:cs="Times New Roman"/>
          <w:iCs/>
          <w:color w:val="000000" w:themeColor="text1"/>
        </w:rPr>
        <w:t>Por último, y sobre todas</w:t>
      </w:r>
      <w:r w:rsidR="009271A6">
        <w:rPr>
          <w:rFonts w:ascii="Calibri" w:eastAsia="Times New Roman" w:hAnsi="Calibri" w:cs="Times New Roman"/>
          <w:iCs/>
          <w:color w:val="000000" w:themeColor="text1"/>
        </w:rPr>
        <w:t>,</w:t>
      </w:r>
      <w:r w:rsidR="009B1A18">
        <w:rPr>
          <w:rFonts w:ascii="Calibri" w:eastAsia="Times New Roman" w:hAnsi="Calibri" w:cs="Times New Roman"/>
          <w:iCs/>
          <w:color w:val="000000" w:themeColor="text1"/>
        </w:rPr>
        <w:t xml:space="preserve"> la más relevante, ¿A</w:t>
      </w:r>
      <w:r w:rsidR="00CE49C5">
        <w:rPr>
          <w:rFonts w:ascii="Calibri" w:eastAsia="Times New Roman" w:hAnsi="Calibri" w:cs="Times New Roman"/>
          <w:iCs/>
          <w:color w:val="000000" w:themeColor="text1"/>
        </w:rPr>
        <w:t>caso responde dicha brecha en las a</w:t>
      </w:r>
      <w:r w:rsidR="009B1A18">
        <w:rPr>
          <w:rFonts w:ascii="Calibri" w:eastAsia="Times New Roman" w:hAnsi="Calibri" w:cs="Times New Roman"/>
          <w:iCs/>
          <w:color w:val="000000" w:themeColor="text1"/>
        </w:rPr>
        <w:t>signaciones a una realidad más precaria</w:t>
      </w:r>
      <w:r w:rsidR="00CE49C5">
        <w:rPr>
          <w:rFonts w:ascii="Calibri" w:eastAsia="Times New Roman" w:hAnsi="Calibri" w:cs="Times New Roman"/>
          <w:iCs/>
          <w:color w:val="000000" w:themeColor="text1"/>
        </w:rPr>
        <w:t xml:space="preserve"> por parte de los niños de la Región Metropolitana </w:t>
      </w:r>
      <w:r w:rsidR="00220E40">
        <w:rPr>
          <w:rFonts w:ascii="Calibri" w:eastAsia="Times New Roman" w:hAnsi="Calibri" w:cs="Times New Roman"/>
          <w:iCs/>
          <w:color w:val="000000" w:themeColor="text1"/>
        </w:rPr>
        <w:t xml:space="preserve">que los de Arica y La Araucanía? </w:t>
      </w:r>
    </w:p>
    <w:p w14:paraId="41F2F046" w14:textId="2FF88631" w:rsidR="00066C6E" w:rsidRDefault="00220E40"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La pregunta es de suma relevancia, puesto que si en los hechos las condiciones de los niños en Santiago no son peores que la de estas regiones afectadas, se está incurriendo en una doble inequidad: Los niños</w:t>
      </w:r>
      <w:r w:rsidR="009B1A18">
        <w:rPr>
          <w:rFonts w:ascii="Calibri" w:eastAsia="Times New Roman" w:hAnsi="Calibri" w:cs="Times New Roman"/>
          <w:iCs/>
          <w:color w:val="000000" w:themeColor="text1"/>
        </w:rPr>
        <w:t xml:space="preserve"> que nacieron en lugares más precarios y que por ende sufren</w:t>
      </w:r>
      <w:r>
        <w:rPr>
          <w:rFonts w:ascii="Calibri" w:eastAsia="Times New Roman" w:hAnsi="Calibri" w:cs="Times New Roman"/>
          <w:iCs/>
          <w:color w:val="000000" w:themeColor="text1"/>
        </w:rPr>
        <w:t xml:space="preserve"> </w:t>
      </w:r>
      <w:r w:rsidR="009B1A18">
        <w:rPr>
          <w:rFonts w:ascii="Calibri" w:eastAsia="Times New Roman" w:hAnsi="Calibri" w:cs="Times New Roman"/>
          <w:iCs/>
          <w:color w:val="000000" w:themeColor="text1"/>
        </w:rPr>
        <w:t xml:space="preserve">más </w:t>
      </w:r>
      <w:r w:rsidR="00994152">
        <w:rPr>
          <w:rFonts w:ascii="Calibri" w:eastAsia="Times New Roman" w:hAnsi="Calibri" w:cs="Times New Roman"/>
          <w:iCs/>
          <w:color w:val="000000" w:themeColor="text1"/>
        </w:rPr>
        <w:t>vulneraciones</w:t>
      </w:r>
      <w:r w:rsidR="009B1A18">
        <w:rPr>
          <w:rFonts w:ascii="Calibri" w:eastAsia="Times New Roman" w:hAnsi="Calibri" w:cs="Times New Roman"/>
          <w:iCs/>
          <w:color w:val="000000" w:themeColor="text1"/>
        </w:rPr>
        <w:t xml:space="preserve"> en sus derechos,</w:t>
      </w:r>
      <w:r>
        <w:rPr>
          <w:rFonts w:ascii="Calibri" w:eastAsia="Times New Roman" w:hAnsi="Calibri" w:cs="Times New Roman"/>
          <w:iCs/>
          <w:color w:val="000000" w:themeColor="text1"/>
        </w:rPr>
        <w:t xml:space="preserve"> son </w:t>
      </w:r>
      <w:r w:rsidR="009B1A18">
        <w:rPr>
          <w:rFonts w:ascii="Calibri" w:eastAsia="Times New Roman" w:hAnsi="Calibri" w:cs="Times New Roman"/>
          <w:iCs/>
          <w:color w:val="000000" w:themeColor="text1"/>
        </w:rPr>
        <w:t xml:space="preserve">para mayor de los males, </w:t>
      </w:r>
      <w:r>
        <w:rPr>
          <w:rFonts w:ascii="Calibri" w:eastAsia="Times New Roman" w:hAnsi="Calibri" w:cs="Times New Roman"/>
          <w:iCs/>
          <w:color w:val="000000" w:themeColor="text1"/>
        </w:rPr>
        <w:t>peor tratados</w:t>
      </w:r>
      <w:r w:rsidR="009271A6">
        <w:rPr>
          <w:rFonts w:ascii="Calibri" w:eastAsia="Times New Roman" w:hAnsi="Calibri" w:cs="Times New Roman"/>
          <w:iCs/>
          <w:color w:val="000000" w:themeColor="text1"/>
        </w:rPr>
        <w:t xml:space="preserve"> por el Estado</w:t>
      </w:r>
      <w:r>
        <w:rPr>
          <w:rFonts w:ascii="Calibri" w:eastAsia="Times New Roman" w:hAnsi="Calibri" w:cs="Times New Roman"/>
          <w:iCs/>
          <w:color w:val="000000" w:themeColor="text1"/>
        </w:rPr>
        <w:t xml:space="preserve">. </w:t>
      </w:r>
    </w:p>
    <w:p w14:paraId="05E5F688" w14:textId="65D7FE37" w:rsidR="00ED10B3" w:rsidRPr="00994152" w:rsidRDefault="009B1A18"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Así lo comprueban</w:t>
      </w:r>
      <w:r w:rsidR="002A1633" w:rsidRPr="00572A33">
        <w:rPr>
          <w:rFonts w:ascii="Calibri" w:eastAsia="Times New Roman" w:hAnsi="Calibri" w:cs="Times New Roman"/>
          <w:iCs/>
          <w:color w:val="000000" w:themeColor="text1"/>
        </w:rPr>
        <w:t xml:space="preserve"> </w:t>
      </w:r>
      <w:r>
        <w:rPr>
          <w:rFonts w:ascii="Calibri" w:eastAsia="Times New Roman" w:hAnsi="Calibri" w:cs="Times New Roman"/>
          <w:iCs/>
          <w:color w:val="000000" w:themeColor="text1"/>
        </w:rPr>
        <w:t xml:space="preserve">los </w:t>
      </w:r>
      <w:r w:rsidR="002A1633" w:rsidRPr="00572A33">
        <w:rPr>
          <w:rFonts w:ascii="Calibri" w:eastAsia="Times New Roman" w:hAnsi="Calibri" w:cs="Times New Roman"/>
          <w:iCs/>
          <w:color w:val="000000" w:themeColor="text1"/>
        </w:rPr>
        <w:t>resultados que entrega la</w:t>
      </w:r>
      <w:r>
        <w:rPr>
          <w:rFonts w:ascii="Calibri" w:eastAsia="Times New Roman" w:hAnsi="Calibri" w:cs="Times New Roman"/>
          <w:iCs/>
          <w:color w:val="000000" w:themeColor="text1"/>
        </w:rPr>
        <w:t xml:space="preserve"> encuesta CASEN 2015,</w:t>
      </w:r>
      <w:r w:rsidR="002A1633" w:rsidRPr="00572A33">
        <w:rPr>
          <w:rFonts w:ascii="Calibri" w:eastAsia="Times New Roman" w:hAnsi="Calibri" w:cs="Times New Roman"/>
          <w:iCs/>
          <w:color w:val="000000" w:themeColor="text1"/>
        </w:rPr>
        <w:t xml:space="preserve"> </w:t>
      </w:r>
      <w:r>
        <w:rPr>
          <w:rFonts w:ascii="Calibri" w:eastAsia="Times New Roman" w:hAnsi="Calibri" w:cs="Times New Roman"/>
          <w:iCs/>
          <w:color w:val="000000" w:themeColor="text1"/>
        </w:rPr>
        <w:t>que en rasgos generales revela</w:t>
      </w:r>
      <w:r w:rsidR="009271A6">
        <w:rPr>
          <w:rFonts w:ascii="Calibri" w:eastAsia="Times New Roman" w:hAnsi="Calibri" w:cs="Times New Roman"/>
          <w:iCs/>
          <w:color w:val="000000" w:themeColor="text1"/>
        </w:rPr>
        <w:t>n</w:t>
      </w:r>
      <w:r>
        <w:rPr>
          <w:rFonts w:ascii="Calibri" w:eastAsia="Times New Roman" w:hAnsi="Calibri" w:cs="Times New Roman"/>
          <w:iCs/>
          <w:color w:val="000000" w:themeColor="text1"/>
        </w:rPr>
        <w:t xml:space="preserve"> que </w:t>
      </w:r>
      <w:r w:rsidR="002A1633" w:rsidRPr="00572A33">
        <w:rPr>
          <w:rFonts w:ascii="Calibri" w:eastAsia="Times New Roman" w:hAnsi="Calibri" w:cs="Times New Roman"/>
          <w:iCs/>
          <w:color w:val="000000" w:themeColor="text1"/>
        </w:rPr>
        <w:t xml:space="preserve">el </w:t>
      </w:r>
      <w:r w:rsidR="002A1633" w:rsidRPr="009B1A18">
        <w:rPr>
          <w:rFonts w:ascii="Calibri" w:eastAsia="Times New Roman" w:hAnsi="Calibri" w:cs="Times New Roman"/>
          <w:b/>
          <w:iCs/>
          <w:color w:val="000000" w:themeColor="text1"/>
        </w:rPr>
        <w:t xml:space="preserve">18,2% de la población infantil se encuentra bajo la línea de pobreza </w:t>
      </w:r>
      <w:r w:rsidR="002A1633" w:rsidRPr="00572A33">
        <w:rPr>
          <w:rFonts w:ascii="Calibri" w:eastAsia="Times New Roman" w:hAnsi="Calibri" w:cs="Times New Roman"/>
          <w:iCs/>
          <w:color w:val="000000" w:themeColor="text1"/>
        </w:rPr>
        <w:t xml:space="preserve">medida según ingresos, mientras el </w:t>
      </w:r>
      <w:r w:rsidR="002A1633" w:rsidRPr="009B1A18">
        <w:rPr>
          <w:rFonts w:ascii="Calibri" w:eastAsia="Times New Roman" w:hAnsi="Calibri" w:cs="Times New Roman"/>
          <w:b/>
          <w:iCs/>
          <w:color w:val="000000" w:themeColor="text1"/>
        </w:rPr>
        <w:t>5,8% en situación de indigencia</w:t>
      </w:r>
      <w:r>
        <w:rPr>
          <w:rFonts w:ascii="Calibri" w:eastAsia="Times New Roman" w:hAnsi="Calibri" w:cs="Times New Roman"/>
          <w:iCs/>
          <w:color w:val="000000" w:themeColor="text1"/>
        </w:rPr>
        <w:t>. La realidad particular de la región</w:t>
      </w:r>
      <w:r w:rsidR="00ED10B3" w:rsidRPr="00572A33">
        <w:rPr>
          <w:rFonts w:ascii="Calibri" w:eastAsia="Times New Roman" w:hAnsi="Calibri" w:cs="Times New Roman"/>
          <w:iCs/>
          <w:color w:val="000000" w:themeColor="text1"/>
        </w:rPr>
        <w:t xml:space="preserve"> de La Araucanía</w:t>
      </w:r>
      <w:r>
        <w:rPr>
          <w:rFonts w:ascii="Calibri" w:eastAsia="Times New Roman" w:hAnsi="Calibri" w:cs="Times New Roman"/>
          <w:iCs/>
          <w:color w:val="000000" w:themeColor="text1"/>
        </w:rPr>
        <w:t xml:space="preserve"> muestra que</w:t>
      </w:r>
      <w:r w:rsidR="00ED10B3" w:rsidRPr="00572A33">
        <w:rPr>
          <w:rFonts w:ascii="Calibri" w:eastAsia="Times New Roman" w:hAnsi="Calibri" w:cs="Times New Roman"/>
          <w:iCs/>
          <w:color w:val="000000" w:themeColor="text1"/>
        </w:rPr>
        <w:t xml:space="preserve"> es la </w:t>
      </w:r>
      <w:r>
        <w:rPr>
          <w:rFonts w:ascii="Calibri" w:eastAsia="Times New Roman" w:hAnsi="Calibri" w:cs="Times New Roman"/>
          <w:iCs/>
          <w:color w:val="000000" w:themeColor="text1"/>
        </w:rPr>
        <w:t>zona</w:t>
      </w:r>
      <w:r w:rsidR="00ED10B3" w:rsidRPr="00572A33">
        <w:rPr>
          <w:rFonts w:ascii="Calibri" w:eastAsia="Times New Roman" w:hAnsi="Calibri" w:cs="Times New Roman"/>
          <w:iCs/>
          <w:color w:val="000000" w:themeColor="text1"/>
        </w:rPr>
        <w:t xml:space="preserve"> </w:t>
      </w:r>
      <w:r>
        <w:rPr>
          <w:rFonts w:ascii="Calibri" w:eastAsia="Times New Roman" w:hAnsi="Calibri" w:cs="Times New Roman"/>
          <w:iCs/>
          <w:color w:val="000000" w:themeColor="text1"/>
        </w:rPr>
        <w:t>con</w:t>
      </w:r>
      <w:r w:rsidR="00ED10B3" w:rsidRPr="00572A33">
        <w:rPr>
          <w:rFonts w:ascii="Calibri" w:eastAsia="Times New Roman" w:hAnsi="Calibri" w:cs="Times New Roman"/>
          <w:iCs/>
          <w:color w:val="000000" w:themeColor="text1"/>
        </w:rPr>
        <w:t xml:space="preserve"> </w:t>
      </w:r>
      <w:r w:rsidR="00ED10B3" w:rsidRPr="009B1A18">
        <w:rPr>
          <w:rFonts w:ascii="Calibri" w:eastAsia="Times New Roman" w:hAnsi="Calibri" w:cs="Times New Roman"/>
          <w:b/>
          <w:iCs/>
          <w:color w:val="000000" w:themeColor="text1"/>
        </w:rPr>
        <w:t xml:space="preserve">mayor porcentaje de población infantil en situación de indigencia con un total del 13,3% </w:t>
      </w:r>
      <w:r>
        <w:rPr>
          <w:rFonts w:ascii="Calibri" w:eastAsia="Times New Roman" w:hAnsi="Calibri" w:cs="Times New Roman"/>
          <w:iCs/>
          <w:color w:val="000000" w:themeColor="text1"/>
        </w:rPr>
        <w:t>de los niños, niñas y adolescentes (NNA)</w:t>
      </w:r>
      <w:r w:rsidR="00ED10B3" w:rsidRPr="00572A33">
        <w:rPr>
          <w:rFonts w:ascii="Calibri" w:eastAsia="Times New Roman" w:hAnsi="Calibri" w:cs="Times New Roman"/>
          <w:iCs/>
          <w:color w:val="000000" w:themeColor="text1"/>
        </w:rPr>
        <w:t xml:space="preserve">, seguido por la región del Bio Bio (9,5%), la región de Los </w:t>
      </w:r>
      <w:r w:rsidR="00ED10B3" w:rsidRPr="00994152">
        <w:rPr>
          <w:rFonts w:ascii="Calibri" w:eastAsia="Times New Roman" w:hAnsi="Calibri" w:cs="Times New Roman"/>
          <w:iCs/>
          <w:color w:val="000000" w:themeColor="text1"/>
        </w:rPr>
        <w:t>Ríos (8,2%), y las regiones del Maule y Los Lagos con un 7,6% cada una</w:t>
      </w:r>
      <w:r w:rsidR="00EA4042" w:rsidRPr="00994152">
        <w:rPr>
          <w:rFonts w:ascii="Calibri" w:eastAsia="Times New Roman" w:hAnsi="Calibri" w:cs="Times New Roman"/>
          <w:iCs/>
          <w:color w:val="000000" w:themeColor="text1"/>
        </w:rPr>
        <w:t>. La Región Metropolitana no aparece ni siquiera dentro de las primeras cinco.</w:t>
      </w:r>
    </w:p>
    <w:p w14:paraId="2E5D3F0C" w14:textId="2A407400" w:rsidR="00994152" w:rsidRDefault="00994152"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 xml:space="preserve">Mientras que, respecto de la pobreza infantil, </w:t>
      </w:r>
      <w:r w:rsidRPr="00994152">
        <w:rPr>
          <w:rFonts w:ascii="Calibri" w:eastAsia="Times New Roman" w:hAnsi="Calibri" w:cs="Times New Roman"/>
          <w:iCs/>
          <w:color w:val="000000" w:themeColor="text1"/>
        </w:rPr>
        <w:t xml:space="preserve">Las regiones de </w:t>
      </w:r>
      <w:r w:rsidRPr="00994152">
        <w:rPr>
          <w:rFonts w:ascii="Calibri" w:eastAsia="Times New Roman" w:hAnsi="Calibri" w:cs="Times New Roman"/>
          <w:b/>
          <w:iCs/>
          <w:color w:val="000000" w:themeColor="text1"/>
        </w:rPr>
        <w:t>La Araucanía, Maule y Bio Bio</w:t>
      </w:r>
      <w:r w:rsidRPr="00994152">
        <w:rPr>
          <w:rFonts w:ascii="Calibri" w:eastAsia="Times New Roman" w:hAnsi="Calibri" w:cs="Times New Roman"/>
          <w:iCs/>
          <w:color w:val="000000" w:themeColor="text1"/>
        </w:rPr>
        <w:t xml:space="preserve">, son las  que presentan los mayores porcentajes de pobreza, </w:t>
      </w:r>
      <w:r w:rsidRPr="00994152">
        <w:rPr>
          <w:rFonts w:ascii="Calibri" w:eastAsia="Times New Roman" w:hAnsi="Calibri" w:cs="Times New Roman"/>
          <w:b/>
          <w:iCs/>
          <w:color w:val="000000" w:themeColor="text1"/>
        </w:rPr>
        <w:t>con 34,3%, 27,0%, 26,0%.</w:t>
      </w:r>
      <w:r w:rsidRPr="00994152">
        <w:rPr>
          <w:rFonts w:ascii="Calibri" w:eastAsia="Times New Roman" w:hAnsi="Calibri" w:cs="Times New Roman"/>
          <w:iCs/>
          <w:color w:val="000000" w:themeColor="text1"/>
        </w:rPr>
        <w:t xml:space="preserve">  Esto  significa  que  en  promedio en estas regiones 1 de cada 3 niños/as vive en situación de pobreza según nivel de ingresos</w:t>
      </w:r>
      <w:r w:rsidR="00AB2A69">
        <w:rPr>
          <w:rStyle w:val="FootnoteReference"/>
          <w:rFonts w:ascii="Calibri" w:eastAsia="Times New Roman" w:hAnsi="Calibri" w:cs="Times New Roman"/>
          <w:iCs/>
          <w:color w:val="000000" w:themeColor="text1"/>
        </w:rPr>
        <w:footnoteReference w:id="3"/>
      </w:r>
      <w:r>
        <w:rPr>
          <w:rFonts w:ascii="Calibri" w:eastAsia="Times New Roman" w:hAnsi="Calibri" w:cs="Times New Roman"/>
          <w:iCs/>
          <w:color w:val="000000" w:themeColor="text1"/>
        </w:rPr>
        <w:t>.</w:t>
      </w:r>
    </w:p>
    <w:p w14:paraId="419ED44E" w14:textId="05437C45" w:rsidR="00EA4042" w:rsidRPr="00697EA5" w:rsidRDefault="00EA4042" w:rsidP="00572A33">
      <w:pPr>
        <w:shd w:val="clear" w:color="auto" w:fill="FFFFFF"/>
        <w:spacing w:after="450" w:line="312" w:lineRule="atLeast"/>
        <w:jc w:val="both"/>
        <w:outlineLvl w:val="1"/>
        <w:rPr>
          <w:rFonts w:ascii="Calibri" w:eastAsia="Times New Roman" w:hAnsi="Calibri" w:cs="Times New Roman"/>
          <w:b/>
          <w:iCs/>
          <w:color w:val="000000" w:themeColor="text1"/>
        </w:rPr>
      </w:pPr>
      <w:r w:rsidRPr="00697EA5">
        <w:rPr>
          <w:rFonts w:ascii="Calibri" w:eastAsia="Times New Roman" w:hAnsi="Calibri" w:cs="Times New Roman"/>
          <w:b/>
          <w:iCs/>
          <w:color w:val="000000" w:themeColor="text1"/>
        </w:rPr>
        <w:t>Pobreza Multidimensional</w:t>
      </w:r>
    </w:p>
    <w:p w14:paraId="622F6132" w14:textId="22BAB065" w:rsidR="00ED10B3" w:rsidRPr="00EA4042" w:rsidRDefault="00697EA5"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 xml:space="preserve">Históricamente la pobreza se ha medido </w:t>
      </w:r>
      <w:r w:rsidR="009271A6">
        <w:rPr>
          <w:rFonts w:ascii="Calibri" w:eastAsia="Times New Roman" w:hAnsi="Calibri" w:cs="Times New Roman"/>
          <w:iCs/>
          <w:color w:val="000000" w:themeColor="text1"/>
        </w:rPr>
        <w:t>a través del ingreso</w:t>
      </w:r>
      <w:r w:rsidRPr="00697EA5">
        <w:rPr>
          <w:rFonts w:ascii="Calibri" w:eastAsia="Times New Roman" w:hAnsi="Calibri" w:cs="Times New Roman"/>
          <w:iCs/>
          <w:color w:val="000000" w:themeColor="text1"/>
        </w:rPr>
        <w:t xml:space="preserve"> </w:t>
      </w:r>
      <w:r>
        <w:rPr>
          <w:rFonts w:ascii="Calibri" w:eastAsia="Times New Roman" w:hAnsi="Calibri" w:cs="Times New Roman"/>
          <w:iCs/>
          <w:color w:val="000000" w:themeColor="text1"/>
        </w:rPr>
        <w:t>que nos entregan las cifras recién mencionadas. S</w:t>
      </w:r>
      <w:r w:rsidRPr="00697EA5">
        <w:rPr>
          <w:rFonts w:ascii="Calibri" w:eastAsia="Times New Roman" w:hAnsi="Calibri" w:cs="Times New Roman"/>
          <w:iCs/>
          <w:color w:val="000000" w:themeColor="text1"/>
        </w:rPr>
        <w:t>in embargo, pese a ser</w:t>
      </w:r>
      <w:r>
        <w:rPr>
          <w:rFonts w:ascii="Calibri" w:eastAsia="Times New Roman" w:hAnsi="Calibri" w:cs="Times New Roman"/>
          <w:iCs/>
          <w:color w:val="000000" w:themeColor="text1"/>
        </w:rPr>
        <w:t xml:space="preserve"> una metodología vigente, pasa por alto</w:t>
      </w:r>
      <w:r w:rsidRPr="00697EA5">
        <w:rPr>
          <w:rFonts w:ascii="Calibri" w:eastAsia="Times New Roman" w:hAnsi="Calibri" w:cs="Times New Roman"/>
          <w:iCs/>
          <w:color w:val="000000" w:themeColor="text1"/>
        </w:rPr>
        <w:t xml:space="preserve"> otras carencias o privaciones</w:t>
      </w:r>
      <w:r>
        <w:rPr>
          <w:rFonts w:ascii="Calibri" w:eastAsia="Times New Roman" w:hAnsi="Calibri" w:cs="Times New Roman"/>
          <w:iCs/>
          <w:color w:val="000000" w:themeColor="text1"/>
        </w:rPr>
        <w:t xml:space="preserve"> de las que son objeto los encuestados, como las condiciones de vida que experimentan las personas y los hogares que no pueden ser medidas por un solo indicador (</w:t>
      </w:r>
      <w:r w:rsidRPr="00EA4042">
        <w:rPr>
          <w:rFonts w:ascii="Calibri" w:eastAsia="Times New Roman" w:hAnsi="Calibri" w:cs="Times New Roman"/>
          <w:iCs/>
          <w:color w:val="000000" w:themeColor="text1"/>
        </w:rPr>
        <w:t>educación, salud, vivienda, empleo, empoderamiento, discriminaci</w:t>
      </w:r>
      <w:r>
        <w:rPr>
          <w:rFonts w:ascii="Calibri" w:eastAsia="Times New Roman" w:hAnsi="Calibri" w:cs="Times New Roman"/>
          <w:iCs/>
          <w:color w:val="000000" w:themeColor="text1"/>
        </w:rPr>
        <w:t>ón, seguridad personal y</w:t>
      </w:r>
      <w:r w:rsidRPr="00EA4042">
        <w:rPr>
          <w:rFonts w:ascii="Calibri" w:eastAsia="Times New Roman" w:hAnsi="Calibri" w:cs="Times New Roman"/>
          <w:iCs/>
          <w:color w:val="000000" w:themeColor="text1"/>
        </w:rPr>
        <w:t xml:space="preserve"> otras</w:t>
      </w:r>
      <w:r>
        <w:rPr>
          <w:rFonts w:ascii="Calibri" w:eastAsia="Times New Roman" w:hAnsi="Calibri" w:cs="Times New Roman"/>
          <w:iCs/>
          <w:color w:val="000000" w:themeColor="text1"/>
        </w:rPr>
        <w:t>).</w:t>
      </w:r>
      <w:r w:rsidRPr="00697EA5">
        <w:rPr>
          <w:rFonts w:ascii="Calibri" w:eastAsia="Times New Roman" w:hAnsi="Calibri" w:cs="Times New Roman"/>
          <w:iCs/>
          <w:color w:val="000000" w:themeColor="text1"/>
        </w:rPr>
        <w:t xml:space="preserve"> Por ello, se ha elaborado </w:t>
      </w:r>
      <w:r>
        <w:rPr>
          <w:rFonts w:ascii="Calibri" w:eastAsia="Times New Roman" w:hAnsi="Calibri" w:cs="Times New Roman"/>
          <w:bCs/>
          <w:iCs/>
          <w:color w:val="000000" w:themeColor="text1"/>
        </w:rPr>
        <w:t>una nueva forma de medir la pobreza</w:t>
      </w:r>
      <w:r w:rsidRPr="00697EA5">
        <w:rPr>
          <w:rFonts w:ascii="Calibri" w:eastAsia="Times New Roman" w:hAnsi="Calibri" w:cs="Times New Roman"/>
          <w:bCs/>
          <w:iCs/>
          <w:color w:val="000000" w:themeColor="text1"/>
        </w:rPr>
        <w:t xml:space="preserve"> denominada “pobreza multidimensional” que mide carencias y riesgos de la población que no siempre están asociados con el nivel de ingreso</w:t>
      </w:r>
      <w:r w:rsidR="00AB2A69">
        <w:rPr>
          <w:rStyle w:val="FootnoteReference"/>
          <w:rFonts w:ascii="Calibri" w:eastAsia="Times New Roman" w:hAnsi="Calibri" w:cs="Times New Roman"/>
          <w:bCs/>
          <w:iCs/>
          <w:color w:val="000000" w:themeColor="text1"/>
        </w:rPr>
        <w:footnoteReference w:id="4"/>
      </w:r>
      <w:r>
        <w:rPr>
          <w:rFonts w:ascii="Calibri" w:eastAsia="Times New Roman" w:hAnsi="Calibri" w:cs="Times New Roman"/>
          <w:bCs/>
          <w:iCs/>
          <w:color w:val="000000" w:themeColor="text1"/>
        </w:rPr>
        <w:t>.</w:t>
      </w:r>
      <w:r w:rsidR="00EA4042" w:rsidRPr="00EA4042">
        <w:rPr>
          <w:rFonts w:ascii="Calibri" w:eastAsia="Times New Roman" w:hAnsi="Calibri" w:cs="Times New Roman"/>
          <w:iCs/>
          <w:color w:val="000000" w:themeColor="text1"/>
        </w:rPr>
        <w:t xml:space="preserve"> </w:t>
      </w:r>
    </w:p>
    <w:p w14:paraId="181FA558" w14:textId="34DB365A" w:rsidR="00212203" w:rsidRDefault="00697EA5"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De acuerdo al informe Infancia Cuenta en Chile 2016, “</w:t>
      </w:r>
      <w:r w:rsidR="00212203">
        <w:rPr>
          <w:rFonts w:ascii="Calibri" w:eastAsia="Times New Roman" w:hAnsi="Calibri" w:cs="Times New Roman"/>
          <w:i/>
          <w:iCs/>
          <w:color w:val="000000" w:themeColor="text1"/>
        </w:rPr>
        <w:t>a</w:t>
      </w:r>
      <w:r w:rsidRPr="00212203">
        <w:rPr>
          <w:rFonts w:ascii="Calibri" w:eastAsia="Times New Roman" w:hAnsi="Calibri" w:cs="Times New Roman"/>
          <w:i/>
          <w:iCs/>
          <w:color w:val="000000" w:themeColor="text1"/>
        </w:rPr>
        <w:t xml:space="preserve"> diferencia de los resultados que entrega la medición según nivel de ingresos, el enfoque multidimensional permite observar que la pobreza afecta de modo relativamente similar a los diferentes tramos de edad de la población del país. </w:t>
      </w:r>
      <w:r w:rsidR="009C76A0" w:rsidRPr="00212203">
        <w:rPr>
          <w:rFonts w:ascii="Calibri" w:eastAsia="Times New Roman" w:hAnsi="Calibri" w:cs="Times New Roman"/>
          <w:i/>
          <w:iCs/>
          <w:color w:val="000000" w:themeColor="text1"/>
        </w:rPr>
        <w:t>Esto se debe, en gran medida, a que el enfoque multidimensional analiza la pobreza de acuerdo a la cantidad y tipos de carencias que enfrentan los hogares chilenos. De este modo, se entiende que las carencias que enfrentan los hogares comprometen al conjunto de sus miembros</w:t>
      </w:r>
      <w:r w:rsidR="00212203" w:rsidRPr="00212203">
        <w:rPr>
          <w:rFonts w:ascii="Calibri" w:eastAsia="Times New Roman" w:hAnsi="Calibri" w:cs="Times New Roman"/>
          <w:i/>
          <w:iCs/>
          <w:color w:val="000000" w:themeColor="text1"/>
        </w:rPr>
        <w:t>”</w:t>
      </w:r>
      <w:r w:rsidR="00AB2A69">
        <w:rPr>
          <w:rStyle w:val="FootnoteReference"/>
          <w:rFonts w:ascii="Calibri" w:eastAsia="Times New Roman" w:hAnsi="Calibri" w:cs="Times New Roman"/>
          <w:i/>
          <w:iCs/>
          <w:color w:val="000000" w:themeColor="text1"/>
        </w:rPr>
        <w:footnoteReference w:id="5"/>
      </w:r>
      <w:r w:rsidR="009C76A0" w:rsidRPr="00572A33">
        <w:rPr>
          <w:rFonts w:ascii="Calibri" w:eastAsia="Times New Roman" w:hAnsi="Calibri" w:cs="Times New Roman"/>
          <w:iCs/>
          <w:color w:val="000000" w:themeColor="text1"/>
        </w:rPr>
        <w:t xml:space="preserve">. </w:t>
      </w:r>
    </w:p>
    <w:p w14:paraId="1797EA1B" w14:textId="1B6ED95E" w:rsidR="00EA4042" w:rsidRDefault="00212203" w:rsidP="00572A33">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El mismo informe recalca, sin embargo, que</w:t>
      </w:r>
      <w:r w:rsidR="009C76A0" w:rsidRPr="00572A33">
        <w:rPr>
          <w:rFonts w:ascii="Calibri" w:eastAsia="Times New Roman" w:hAnsi="Calibri" w:cs="Times New Roman"/>
          <w:iCs/>
          <w:color w:val="000000" w:themeColor="text1"/>
        </w:rPr>
        <w:t xml:space="preserve"> a pesar de lo anterior, </w:t>
      </w:r>
      <w:r>
        <w:rPr>
          <w:rFonts w:ascii="Calibri" w:eastAsia="Times New Roman" w:hAnsi="Calibri" w:cs="Times New Roman"/>
          <w:iCs/>
          <w:color w:val="000000" w:themeColor="text1"/>
        </w:rPr>
        <w:t xml:space="preserve">los que </w:t>
      </w:r>
      <w:r w:rsidR="009C76A0" w:rsidRPr="00572A33">
        <w:rPr>
          <w:rFonts w:ascii="Calibri" w:eastAsia="Times New Roman" w:hAnsi="Calibri" w:cs="Times New Roman"/>
          <w:iCs/>
          <w:color w:val="000000" w:themeColor="text1"/>
        </w:rPr>
        <w:t xml:space="preserve">sufren de modo más crítico la pobreza multidimensional </w:t>
      </w:r>
      <w:r w:rsidR="009C76A0" w:rsidRPr="00212203">
        <w:rPr>
          <w:rFonts w:ascii="Calibri" w:eastAsia="Times New Roman" w:hAnsi="Calibri" w:cs="Times New Roman"/>
          <w:b/>
          <w:iCs/>
          <w:color w:val="000000" w:themeColor="text1"/>
        </w:rPr>
        <w:t>son los niños y las niñas entre 0 y 5 años</w:t>
      </w:r>
      <w:r w:rsidR="009C76A0" w:rsidRPr="00212203">
        <w:rPr>
          <w:rFonts w:ascii="Calibri" w:eastAsia="Times New Roman" w:hAnsi="Calibri" w:cs="Times New Roman"/>
          <w:iCs/>
          <w:color w:val="000000" w:themeColor="text1"/>
        </w:rPr>
        <w:t xml:space="preserve">, pues el </w:t>
      </w:r>
      <w:r w:rsidR="009C76A0" w:rsidRPr="00212203">
        <w:rPr>
          <w:rFonts w:ascii="Calibri" w:eastAsia="Times New Roman" w:hAnsi="Calibri" w:cs="Times New Roman"/>
          <w:b/>
          <w:iCs/>
          <w:color w:val="000000" w:themeColor="text1"/>
        </w:rPr>
        <w:t xml:space="preserve">27,3% </w:t>
      </w:r>
      <w:r w:rsidR="009C76A0" w:rsidRPr="00212203">
        <w:rPr>
          <w:rFonts w:ascii="Calibri" w:eastAsia="Times New Roman" w:hAnsi="Calibri" w:cs="Times New Roman"/>
          <w:iCs/>
          <w:color w:val="000000" w:themeColor="text1"/>
        </w:rPr>
        <w:t>de esta població</w:t>
      </w:r>
      <w:r w:rsidR="00EA4042" w:rsidRPr="00212203">
        <w:rPr>
          <w:rFonts w:ascii="Calibri" w:eastAsia="Times New Roman" w:hAnsi="Calibri" w:cs="Times New Roman"/>
          <w:iCs/>
          <w:color w:val="000000" w:themeColor="text1"/>
        </w:rPr>
        <w:t>n</w:t>
      </w:r>
      <w:r w:rsidRPr="00212203">
        <w:rPr>
          <w:rFonts w:ascii="Calibri" w:eastAsia="Times New Roman" w:hAnsi="Calibri" w:cs="Times New Roman"/>
          <w:iCs/>
          <w:color w:val="000000" w:themeColor="text1"/>
        </w:rPr>
        <w:t xml:space="preserve"> se encuentra en esta condició</w:t>
      </w:r>
      <w:r>
        <w:rPr>
          <w:rFonts w:ascii="Calibri" w:eastAsia="Times New Roman" w:hAnsi="Calibri" w:cs="Times New Roman"/>
          <w:iCs/>
          <w:color w:val="000000" w:themeColor="text1"/>
        </w:rPr>
        <w:t xml:space="preserve">n, mientras que </w:t>
      </w:r>
      <w:r w:rsidRPr="00212203">
        <w:rPr>
          <w:rFonts w:ascii="Calibri" w:eastAsia="Times New Roman" w:hAnsi="Calibri" w:cs="Times New Roman"/>
          <w:iCs/>
          <w:color w:val="000000" w:themeColor="text1"/>
        </w:rPr>
        <w:t xml:space="preserve">los </w:t>
      </w:r>
      <w:r>
        <w:rPr>
          <w:rFonts w:ascii="Calibri" w:eastAsia="Times New Roman" w:hAnsi="Calibri" w:cs="Times New Roman"/>
          <w:iCs/>
          <w:color w:val="000000" w:themeColor="text1"/>
        </w:rPr>
        <w:t>que tienen entre</w:t>
      </w:r>
      <w:r w:rsidRPr="00212203">
        <w:rPr>
          <w:rFonts w:ascii="Calibri" w:eastAsia="Times New Roman" w:hAnsi="Calibri" w:cs="Times New Roman"/>
          <w:iCs/>
          <w:color w:val="000000" w:themeColor="text1"/>
        </w:rPr>
        <w:t xml:space="preserve"> </w:t>
      </w:r>
      <w:r w:rsidRPr="00081A00">
        <w:rPr>
          <w:rFonts w:ascii="Calibri" w:eastAsia="Times New Roman" w:hAnsi="Calibri" w:cs="Times New Roman"/>
          <w:b/>
          <w:iCs/>
          <w:color w:val="000000" w:themeColor="text1"/>
        </w:rPr>
        <w:t>6 y 13 años</w:t>
      </w:r>
      <w:r w:rsidRPr="00212203">
        <w:rPr>
          <w:rFonts w:ascii="Calibri" w:eastAsia="Times New Roman" w:hAnsi="Calibri" w:cs="Times New Roman"/>
          <w:iCs/>
          <w:color w:val="000000" w:themeColor="text1"/>
        </w:rPr>
        <w:t xml:space="preserve"> </w:t>
      </w:r>
      <w:r>
        <w:rPr>
          <w:rFonts w:ascii="Calibri" w:eastAsia="Times New Roman" w:hAnsi="Calibri" w:cs="Times New Roman"/>
          <w:iCs/>
          <w:color w:val="000000" w:themeColor="text1"/>
        </w:rPr>
        <w:t xml:space="preserve"> representan un</w:t>
      </w:r>
      <w:r w:rsidRPr="00212203">
        <w:rPr>
          <w:rFonts w:ascii="Calibri" w:eastAsia="Times New Roman" w:hAnsi="Calibri" w:cs="Times New Roman"/>
          <w:iCs/>
          <w:color w:val="000000" w:themeColor="text1"/>
        </w:rPr>
        <w:t xml:space="preserve"> </w:t>
      </w:r>
      <w:r w:rsidRPr="00081A00">
        <w:rPr>
          <w:rFonts w:ascii="Calibri" w:eastAsia="Times New Roman" w:hAnsi="Calibri" w:cs="Times New Roman"/>
          <w:b/>
          <w:iCs/>
          <w:color w:val="000000" w:themeColor="text1"/>
        </w:rPr>
        <w:t xml:space="preserve">21,4% </w:t>
      </w:r>
      <w:r w:rsidRPr="00212203">
        <w:rPr>
          <w:rFonts w:ascii="Calibri" w:eastAsia="Times New Roman" w:hAnsi="Calibri" w:cs="Times New Roman"/>
          <w:iCs/>
          <w:color w:val="000000" w:themeColor="text1"/>
        </w:rPr>
        <w:t xml:space="preserve">de </w:t>
      </w:r>
      <w:r>
        <w:rPr>
          <w:rFonts w:ascii="Calibri" w:eastAsia="Times New Roman" w:hAnsi="Calibri" w:cs="Times New Roman"/>
          <w:iCs/>
          <w:color w:val="000000" w:themeColor="text1"/>
        </w:rPr>
        <w:t>esa</w:t>
      </w:r>
      <w:r w:rsidRPr="00212203">
        <w:rPr>
          <w:rFonts w:ascii="Calibri" w:eastAsia="Times New Roman" w:hAnsi="Calibri" w:cs="Times New Roman"/>
          <w:iCs/>
          <w:color w:val="000000" w:themeColor="text1"/>
        </w:rPr>
        <w:t xml:space="preserve"> condiciones de pobreza. En tanto, </w:t>
      </w:r>
      <w:r w:rsidRPr="00081A00">
        <w:rPr>
          <w:rFonts w:ascii="Calibri" w:eastAsia="Times New Roman" w:hAnsi="Calibri" w:cs="Times New Roman"/>
          <w:b/>
          <w:iCs/>
          <w:color w:val="000000" w:themeColor="text1"/>
        </w:rPr>
        <w:t>un 21,5%</w:t>
      </w:r>
      <w:r w:rsidRPr="00212203">
        <w:rPr>
          <w:rFonts w:ascii="Calibri" w:eastAsia="Times New Roman" w:hAnsi="Calibri" w:cs="Times New Roman"/>
          <w:iCs/>
          <w:color w:val="000000" w:themeColor="text1"/>
        </w:rPr>
        <w:t xml:space="preserve"> de los niños y las niñas entre </w:t>
      </w:r>
      <w:r w:rsidRPr="00081A00">
        <w:rPr>
          <w:rFonts w:ascii="Calibri" w:eastAsia="Times New Roman" w:hAnsi="Calibri" w:cs="Times New Roman"/>
          <w:b/>
          <w:iCs/>
          <w:color w:val="000000" w:themeColor="text1"/>
        </w:rPr>
        <w:t>14 y 17 años</w:t>
      </w:r>
      <w:r w:rsidRPr="00212203">
        <w:rPr>
          <w:rFonts w:ascii="Calibri" w:eastAsia="Times New Roman" w:hAnsi="Calibri" w:cs="Times New Roman"/>
          <w:iCs/>
          <w:color w:val="000000" w:themeColor="text1"/>
        </w:rPr>
        <w:t xml:space="preserve"> se encuentran en </w:t>
      </w:r>
      <w:r w:rsidR="00081A00">
        <w:rPr>
          <w:rFonts w:ascii="Calibri" w:eastAsia="Times New Roman" w:hAnsi="Calibri" w:cs="Times New Roman"/>
          <w:iCs/>
          <w:color w:val="000000" w:themeColor="text1"/>
        </w:rPr>
        <w:t xml:space="preserve">dicha </w:t>
      </w:r>
      <w:r w:rsidRPr="00212203">
        <w:rPr>
          <w:rFonts w:ascii="Calibri" w:eastAsia="Times New Roman" w:hAnsi="Calibri" w:cs="Times New Roman"/>
          <w:iCs/>
          <w:color w:val="000000" w:themeColor="text1"/>
        </w:rPr>
        <w:t>situación</w:t>
      </w:r>
      <w:r w:rsidR="00081A00">
        <w:rPr>
          <w:rFonts w:ascii="Calibri" w:eastAsia="Times New Roman" w:hAnsi="Calibri" w:cs="Times New Roman"/>
          <w:iCs/>
          <w:color w:val="000000" w:themeColor="text1"/>
        </w:rPr>
        <w:t>.</w:t>
      </w:r>
    </w:p>
    <w:p w14:paraId="0FBEDC46" w14:textId="2792BAD1" w:rsidR="00645683" w:rsidRPr="001E5009" w:rsidRDefault="00081A00" w:rsidP="00994152">
      <w:pPr>
        <w:shd w:val="clear" w:color="auto" w:fill="FFFFFF"/>
        <w:spacing w:after="450" w:line="312" w:lineRule="atLeast"/>
        <w:jc w:val="both"/>
        <w:outlineLvl w:val="1"/>
        <w:rPr>
          <w:rFonts w:ascii="Calibri" w:eastAsia="Times New Roman" w:hAnsi="Calibri" w:cs="Times New Roman"/>
          <w:b/>
          <w:iCs/>
          <w:color w:val="000000" w:themeColor="text1"/>
        </w:rPr>
      </w:pPr>
      <w:r>
        <w:rPr>
          <w:rFonts w:ascii="Calibri" w:eastAsia="Times New Roman" w:hAnsi="Calibri" w:cs="Times New Roman"/>
          <w:iCs/>
          <w:color w:val="000000" w:themeColor="text1"/>
        </w:rPr>
        <w:t xml:space="preserve">Con esta nueva y más acabada forma de concebir la pobreza, es necesario mirar el país bajo su </w:t>
      </w:r>
      <w:r w:rsidRPr="001E5009">
        <w:rPr>
          <w:rFonts w:ascii="Calibri" w:eastAsia="Times New Roman" w:hAnsi="Calibri" w:cs="Times New Roman"/>
          <w:iCs/>
          <w:color w:val="000000" w:themeColor="text1"/>
        </w:rPr>
        <w:t xml:space="preserve">óptica para tener una percepción más real de la situación. ¿Y qué encontramos? Nuevamente las cifras subrayan que el panorama de inequidad para con los niños del país es grave e injustificado: </w:t>
      </w:r>
      <w:r w:rsidR="009C76A0" w:rsidRPr="001E5009">
        <w:rPr>
          <w:rFonts w:ascii="Calibri" w:eastAsia="Times New Roman" w:hAnsi="Calibri" w:cs="Times New Roman"/>
          <w:b/>
          <w:iCs/>
          <w:color w:val="000000" w:themeColor="text1"/>
        </w:rPr>
        <w:t>La región de La Araucanía es la que tiene el mayor porcentaje de niños y niñas en condicion</w:t>
      </w:r>
      <w:r w:rsidR="00AA63BA" w:rsidRPr="001E5009">
        <w:rPr>
          <w:rFonts w:ascii="Calibri" w:eastAsia="Times New Roman" w:hAnsi="Calibri" w:cs="Times New Roman"/>
          <w:b/>
          <w:iCs/>
          <w:color w:val="000000" w:themeColor="text1"/>
        </w:rPr>
        <w:t xml:space="preserve">es de pobreza multidimensional, con una cifra de </w:t>
      </w:r>
      <w:r w:rsidR="009C76A0" w:rsidRPr="001E5009">
        <w:rPr>
          <w:rFonts w:ascii="Calibri" w:eastAsia="Times New Roman" w:hAnsi="Calibri" w:cs="Times New Roman"/>
          <w:b/>
          <w:iCs/>
          <w:color w:val="000000" w:themeColor="text1"/>
        </w:rPr>
        <w:t>31,9%, situándola como la región que presenta los comportamientos más negativos en ambos indicadores de pobreza</w:t>
      </w:r>
      <w:r w:rsidR="00AB2A69">
        <w:rPr>
          <w:rStyle w:val="FootnoteReference"/>
          <w:rFonts w:ascii="Calibri" w:eastAsia="Times New Roman" w:hAnsi="Calibri" w:cs="Times New Roman"/>
          <w:b/>
          <w:iCs/>
          <w:color w:val="000000" w:themeColor="text1"/>
        </w:rPr>
        <w:footnoteReference w:id="6"/>
      </w:r>
      <w:r w:rsidRPr="001E5009">
        <w:rPr>
          <w:rFonts w:ascii="Calibri" w:eastAsia="Times New Roman" w:hAnsi="Calibri" w:cs="Times New Roman"/>
          <w:b/>
          <w:iCs/>
          <w:color w:val="000000" w:themeColor="text1"/>
        </w:rPr>
        <w:t>.</w:t>
      </w:r>
    </w:p>
    <w:p w14:paraId="52E4E812" w14:textId="65824BFD" w:rsidR="00AA63BA" w:rsidRPr="001E5009" w:rsidRDefault="001E5009" w:rsidP="00994152">
      <w:pPr>
        <w:shd w:val="clear" w:color="auto" w:fill="FFFFFF"/>
        <w:spacing w:after="450" w:line="312" w:lineRule="atLeast"/>
        <w:jc w:val="both"/>
        <w:outlineLvl w:val="1"/>
        <w:rPr>
          <w:rFonts w:ascii="Calibri" w:eastAsia="Times New Roman" w:hAnsi="Calibri" w:cs="Times New Roman"/>
          <w:b/>
          <w:iCs/>
          <w:color w:val="000000" w:themeColor="text1"/>
        </w:rPr>
      </w:pPr>
      <w:r w:rsidRPr="001E5009">
        <w:rPr>
          <w:rFonts w:ascii="Calibri" w:eastAsia="Times New Roman" w:hAnsi="Calibri" w:cs="Times New Roman"/>
          <w:b/>
          <w:iCs/>
          <w:color w:val="000000" w:themeColor="text1"/>
        </w:rPr>
        <w:t>Problema étnico</w:t>
      </w:r>
    </w:p>
    <w:p w14:paraId="3B506ABC" w14:textId="77777777" w:rsidR="009271A6" w:rsidRPr="00994152" w:rsidRDefault="009271A6" w:rsidP="009271A6">
      <w:pPr>
        <w:shd w:val="clear" w:color="auto" w:fill="FFFFFF"/>
        <w:spacing w:after="450" w:line="312" w:lineRule="atLeast"/>
        <w:jc w:val="both"/>
        <w:outlineLvl w:val="1"/>
        <w:rPr>
          <w:rFonts w:ascii="Calibri" w:eastAsia="Times New Roman" w:hAnsi="Calibri" w:cs="Times New Roman"/>
          <w:b/>
          <w:iCs/>
          <w:color w:val="000000" w:themeColor="text1"/>
        </w:rPr>
      </w:pPr>
      <w:r>
        <w:rPr>
          <w:rFonts w:ascii="Calibri" w:eastAsia="Times New Roman" w:hAnsi="Calibri" w:cs="Times New Roman"/>
          <w:iCs/>
          <w:color w:val="000000" w:themeColor="text1"/>
        </w:rPr>
        <w:t>A mayor abundamiento, es un hecho histórico en la realidad de nuestro país, que</w:t>
      </w:r>
      <w:r w:rsidRPr="00572A33">
        <w:rPr>
          <w:rFonts w:ascii="Calibri" w:eastAsia="Times New Roman" w:hAnsi="Calibri" w:cs="Times New Roman"/>
          <w:iCs/>
          <w:color w:val="000000" w:themeColor="text1"/>
        </w:rPr>
        <w:t xml:space="preserve"> las diferencias étnicas</w:t>
      </w:r>
      <w:r>
        <w:rPr>
          <w:rFonts w:ascii="Calibri" w:eastAsia="Times New Roman" w:hAnsi="Calibri" w:cs="Times New Roman"/>
          <w:iCs/>
          <w:color w:val="000000" w:themeColor="text1"/>
        </w:rPr>
        <w:t xml:space="preserve"> y territoriales siguen constituyendo una de las</w:t>
      </w:r>
      <w:r w:rsidRPr="00572A33">
        <w:rPr>
          <w:rFonts w:ascii="Calibri" w:eastAsia="Times New Roman" w:hAnsi="Calibri" w:cs="Times New Roman"/>
          <w:iCs/>
          <w:color w:val="000000" w:themeColor="text1"/>
        </w:rPr>
        <w:t xml:space="preserve"> principales condiciones que condenan a miles de niños y niñas a experimentar cotidianamente diversos tipos de carencias materiales que afectan su bienestar, calidad de vida y desarrollo. </w:t>
      </w:r>
      <w:r>
        <w:rPr>
          <w:rFonts w:ascii="Calibri" w:eastAsia="Times New Roman" w:hAnsi="Calibri" w:cs="Times New Roman"/>
          <w:iCs/>
          <w:color w:val="000000" w:themeColor="text1"/>
        </w:rPr>
        <w:t>Tal como arrojan los datos recién señalados,</w:t>
      </w:r>
      <w:r w:rsidRPr="00572A33">
        <w:rPr>
          <w:rFonts w:ascii="Calibri" w:eastAsia="Times New Roman" w:hAnsi="Calibri" w:cs="Times New Roman"/>
          <w:iCs/>
          <w:color w:val="000000" w:themeColor="text1"/>
        </w:rPr>
        <w:t xml:space="preserve"> </w:t>
      </w:r>
      <w:r w:rsidRPr="00994152">
        <w:rPr>
          <w:rFonts w:ascii="Calibri" w:eastAsia="Times New Roman" w:hAnsi="Calibri" w:cs="Times New Roman"/>
          <w:b/>
          <w:iCs/>
          <w:color w:val="000000" w:themeColor="text1"/>
        </w:rPr>
        <w:t>los mayores porcentajes de menores en condiciones de pobreza según ingresos habitan en sectores rurales.</w:t>
      </w:r>
    </w:p>
    <w:p w14:paraId="2F3C2A1A" w14:textId="7DA5EDD8" w:rsidR="001E5009" w:rsidRPr="001E5009" w:rsidRDefault="001E5009" w:rsidP="001E5009">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bCs/>
          <w:iCs/>
          <w:color w:val="000000" w:themeColor="text1"/>
        </w:rPr>
        <w:t xml:space="preserve">Las mismas cifras con las que se concluye que La Araucanía es la región con más carencias en la infancia y de las con menor recepción de fondos institucionales para el cuidado de ella, se extrae también el hecho que </w:t>
      </w:r>
      <w:r w:rsidRPr="001E5009">
        <w:rPr>
          <w:rFonts w:ascii="Calibri" w:eastAsia="Times New Roman" w:hAnsi="Calibri" w:cs="Times New Roman"/>
          <w:b/>
          <w:bCs/>
          <w:iCs/>
          <w:color w:val="000000" w:themeColor="text1"/>
        </w:rPr>
        <w:t>pertenecer a un pueblo originario aumenta las posibilidades de ser pobres para los niños y niñas</w:t>
      </w:r>
      <w:r>
        <w:rPr>
          <w:rFonts w:ascii="Calibri" w:eastAsia="Times New Roman" w:hAnsi="Calibri" w:cs="Times New Roman"/>
          <w:iCs/>
          <w:color w:val="000000" w:themeColor="text1"/>
        </w:rPr>
        <w:t xml:space="preserve">. </w:t>
      </w:r>
      <w:r w:rsidR="0059301D">
        <w:rPr>
          <w:rFonts w:ascii="Calibri" w:eastAsia="Times New Roman" w:hAnsi="Calibri" w:cs="Times New Roman"/>
          <w:iCs/>
          <w:color w:val="000000" w:themeColor="text1"/>
        </w:rPr>
        <w:t xml:space="preserve">Cifras </w:t>
      </w:r>
      <w:r w:rsidR="00F23D8C">
        <w:rPr>
          <w:rFonts w:ascii="Calibri" w:eastAsia="Times New Roman" w:hAnsi="Calibri" w:cs="Times New Roman"/>
          <w:iCs/>
          <w:color w:val="000000" w:themeColor="text1"/>
        </w:rPr>
        <w:t>de le encuesta Casen 2013 señalan que m</w:t>
      </w:r>
      <w:r w:rsidRPr="001E5009">
        <w:rPr>
          <w:rFonts w:ascii="Calibri" w:eastAsia="Times New Roman" w:hAnsi="Calibri" w:cs="Times New Roman"/>
          <w:iCs/>
          <w:color w:val="000000" w:themeColor="text1"/>
        </w:rPr>
        <w:t xml:space="preserve">ientras el porcentaje de la población infantil total del país </w:t>
      </w:r>
      <w:r w:rsidR="00F23D8C">
        <w:rPr>
          <w:rFonts w:ascii="Calibri" w:eastAsia="Times New Roman" w:hAnsi="Calibri" w:cs="Times New Roman"/>
          <w:iCs/>
          <w:color w:val="000000" w:themeColor="text1"/>
        </w:rPr>
        <w:t xml:space="preserve">para ese entonces </w:t>
      </w:r>
      <w:r w:rsidRPr="001E5009">
        <w:rPr>
          <w:rFonts w:ascii="Calibri" w:eastAsia="Times New Roman" w:hAnsi="Calibri" w:cs="Times New Roman"/>
          <w:iCs/>
          <w:color w:val="000000" w:themeColor="text1"/>
        </w:rPr>
        <w:t>en situación de pobreza de ingreso y pobreza multidimensional llega</w:t>
      </w:r>
      <w:r w:rsidR="00F23D8C">
        <w:rPr>
          <w:rFonts w:ascii="Calibri" w:eastAsia="Times New Roman" w:hAnsi="Calibri" w:cs="Times New Roman"/>
          <w:iCs/>
          <w:color w:val="000000" w:themeColor="text1"/>
        </w:rPr>
        <w:t>ba</w:t>
      </w:r>
      <w:r w:rsidRPr="001E5009">
        <w:rPr>
          <w:rFonts w:ascii="Calibri" w:eastAsia="Times New Roman" w:hAnsi="Calibri" w:cs="Times New Roman"/>
          <w:iCs/>
          <w:color w:val="000000" w:themeColor="text1"/>
        </w:rPr>
        <w:t xml:space="preserve"> a un 12%, la población infantil en la misma situación y que declara pertenecer a un pueblo indígena alcanza el 19%</w:t>
      </w:r>
      <w:r w:rsidR="00AB2A69">
        <w:rPr>
          <w:rStyle w:val="FootnoteReference"/>
          <w:rFonts w:ascii="Calibri" w:eastAsia="Times New Roman" w:hAnsi="Calibri" w:cs="Times New Roman"/>
          <w:iCs/>
          <w:color w:val="000000" w:themeColor="text1"/>
        </w:rPr>
        <w:footnoteReference w:id="7"/>
      </w:r>
      <w:r w:rsidRPr="001E5009">
        <w:rPr>
          <w:rFonts w:ascii="Calibri" w:eastAsia="Times New Roman" w:hAnsi="Calibri" w:cs="Times New Roman"/>
          <w:iCs/>
          <w:color w:val="000000" w:themeColor="text1"/>
        </w:rPr>
        <w:t>.</w:t>
      </w:r>
    </w:p>
    <w:p w14:paraId="2C5C74D0" w14:textId="3714004D" w:rsidR="009271A6" w:rsidRPr="00AB2A69" w:rsidRDefault="00F23D8C" w:rsidP="00F23D8C">
      <w:pPr>
        <w:shd w:val="clear" w:color="auto" w:fill="FFFFFF"/>
        <w:spacing w:after="450" w:line="312" w:lineRule="atLeast"/>
        <w:jc w:val="both"/>
        <w:outlineLvl w:val="1"/>
        <w:rPr>
          <w:rFonts w:ascii="Calibri" w:eastAsia="Times New Roman" w:hAnsi="Calibri" w:cs="Times New Roman"/>
          <w:iCs/>
          <w:color w:val="000000" w:themeColor="text1"/>
        </w:rPr>
      </w:pPr>
      <w:r w:rsidRPr="00F23D8C">
        <w:rPr>
          <w:rFonts w:ascii="Calibri" w:eastAsia="Times New Roman" w:hAnsi="Calibri" w:cs="Times New Roman"/>
          <w:iCs/>
          <w:color w:val="000000" w:themeColor="text1"/>
        </w:rPr>
        <w:t>En Chile, un 8,7% de la población menor de 18 años es indígena, grupo que concentra los mayores índices de vulnerabilidad. Un 29,5% de ella se encuentra bajo la línea de la pobreza, cifra bastante superior si se compara con el porcentaje de la población no indígena que asciende a un 22,5%</w:t>
      </w:r>
      <w:r w:rsidR="00AB2A69">
        <w:rPr>
          <w:rStyle w:val="FootnoteReference"/>
          <w:rFonts w:ascii="Calibri" w:eastAsia="Times New Roman" w:hAnsi="Calibri" w:cs="Times New Roman"/>
          <w:iCs/>
          <w:color w:val="000000" w:themeColor="text1"/>
        </w:rPr>
        <w:footnoteReference w:id="8"/>
      </w:r>
      <w:r>
        <w:rPr>
          <w:rFonts w:ascii="Calibri" w:eastAsia="Times New Roman" w:hAnsi="Calibri" w:cs="Times New Roman"/>
          <w:iCs/>
          <w:color w:val="000000" w:themeColor="text1"/>
        </w:rPr>
        <w:t>.</w:t>
      </w:r>
    </w:p>
    <w:p w14:paraId="2FC44407" w14:textId="1EF33D4F" w:rsidR="00F23D8C" w:rsidRDefault="00F23D8C" w:rsidP="00F23D8C">
      <w:pPr>
        <w:shd w:val="clear" w:color="auto" w:fill="FFFFFF"/>
        <w:spacing w:after="450" w:line="312" w:lineRule="atLeast"/>
        <w:jc w:val="both"/>
        <w:outlineLvl w:val="1"/>
        <w:rPr>
          <w:rFonts w:ascii="Calibri" w:eastAsia="Times New Roman" w:hAnsi="Calibri" w:cs="Times New Roman"/>
          <w:b/>
          <w:iCs/>
          <w:color w:val="000000" w:themeColor="text1"/>
        </w:rPr>
      </w:pPr>
      <w:r w:rsidRPr="00F23D8C">
        <w:rPr>
          <w:rFonts w:ascii="Calibri" w:eastAsia="Times New Roman" w:hAnsi="Calibri" w:cs="Times New Roman"/>
          <w:b/>
          <w:iCs/>
          <w:color w:val="000000" w:themeColor="text1"/>
        </w:rPr>
        <w:t>Conclusiones</w:t>
      </w:r>
    </w:p>
    <w:p w14:paraId="7483AF5A" w14:textId="6E63A31F" w:rsidR="00F23D8C" w:rsidRDefault="00F23D8C" w:rsidP="00F23D8C">
      <w:pPr>
        <w:shd w:val="clear" w:color="auto" w:fill="FFFFFF"/>
        <w:spacing w:after="450" w:line="312" w:lineRule="atLeast"/>
        <w:jc w:val="both"/>
        <w:outlineLvl w:val="1"/>
        <w:rPr>
          <w:rFonts w:ascii="Calibri" w:eastAsia="Times New Roman" w:hAnsi="Calibri" w:cs="Times New Roman"/>
          <w:iCs/>
          <w:color w:val="000000" w:themeColor="text1"/>
        </w:rPr>
      </w:pPr>
      <w:r w:rsidRPr="00F23D8C">
        <w:rPr>
          <w:rFonts w:ascii="Calibri" w:eastAsia="Times New Roman" w:hAnsi="Calibri" w:cs="Times New Roman"/>
          <w:iCs/>
          <w:color w:val="000000" w:themeColor="text1"/>
        </w:rPr>
        <w:t xml:space="preserve">A la ya </w:t>
      </w:r>
      <w:r>
        <w:rPr>
          <w:rFonts w:ascii="Calibri" w:eastAsia="Times New Roman" w:hAnsi="Calibri" w:cs="Times New Roman"/>
          <w:iCs/>
          <w:color w:val="000000" w:themeColor="text1"/>
        </w:rPr>
        <w:t>subrayada falta de equidad en la distribución de los fondos destinados a los centros que acogen a nuestros niños, niñas y adolescentes se suma lo expuesto en las cifras recién destacadas: En el lugar del país que más pobreza infantil existe, menos se está invirtiendo</w:t>
      </w:r>
      <w:r w:rsidR="009271A6">
        <w:rPr>
          <w:rFonts w:ascii="Calibri" w:eastAsia="Times New Roman" w:hAnsi="Calibri" w:cs="Times New Roman"/>
          <w:iCs/>
          <w:color w:val="000000" w:themeColor="text1"/>
        </w:rPr>
        <w:t xml:space="preserve"> (junto con Arica).</w:t>
      </w:r>
      <w:r w:rsidR="0024491F">
        <w:rPr>
          <w:rFonts w:ascii="Calibri" w:eastAsia="Times New Roman" w:hAnsi="Calibri" w:cs="Times New Roman"/>
          <w:iCs/>
          <w:color w:val="000000" w:themeColor="text1"/>
        </w:rPr>
        <w:t xml:space="preserve"> </w:t>
      </w:r>
    </w:p>
    <w:p w14:paraId="7F75CC20" w14:textId="54E4DDC7" w:rsidR="0024491F" w:rsidRDefault="0024491F" w:rsidP="00F23D8C">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Es necesario, en primer lugar, hacer un esfuerzo por La Araucanía, como la zona que registra más abandono hacia la infancia</w:t>
      </w:r>
      <w:r w:rsidR="001F3B34">
        <w:rPr>
          <w:rFonts w:ascii="Calibri" w:eastAsia="Times New Roman" w:hAnsi="Calibri" w:cs="Times New Roman"/>
          <w:iCs/>
          <w:color w:val="000000" w:themeColor="text1"/>
        </w:rPr>
        <w:t xml:space="preserve"> y que exhibe</w:t>
      </w:r>
      <w:r>
        <w:rPr>
          <w:rFonts w:ascii="Calibri" w:eastAsia="Times New Roman" w:hAnsi="Calibri" w:cs="Times New Roman"/>
          <w:iCs/>
          <w:color w:val="000000" w:themeColor="text1"/>
        </w:rPr>
        <w:t xml:space="preserve"> los peores índices tanto de pobreza como de la más extrema indigencia. </w:t>
      </w:r>
      <w:r w:rsidR="001F3B34">
        <w:rPr>
          <w:rFonts w:ascii="Calibri" w:eastAsia="Times New Roman" w:hAnsi="Calibri" w:cs="Times New Roman"/>
          <w:iCs/>
          <w:color w:val="000000" w:themeColor="text1"/>
        </w:rPr>
        <w:t>Es evidente que existe una relevante segregación a nivel territorial, puesto que la vida de un NNA será muy diferente en la medida que nazca en una región y no en otra. Esta situación es al menos reprochable, en el entendido de que para garantizar la protección de sus derechos, un niño debe moverse a otros territorios para lograrlo.</w:t>
      </w:r>
    </w:p>
    <w:p w14:paraId="6E70430F" w14:textId="6088F928" w:rsidR="00405016" w:rsidRPr="00405016" w:rsidRDefault="001F3B34" w:rsidP="00405016">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 xml:space="preserve">Por lo mismo es necesario, en primer lugar, trasparentar los motivos que llevan a centralizar la asignación de fondos en desmedro de las apremiantes realidades que se viven en regiones y </w:t>
      </w:r>
      <w:r w:rsidRPr="00405016">
        <w:rPr>
          <w:rFonts w:ascii="Calibri" w:eastAsia="Times New Roman" w:hAnsi="Calibri" w:cs="Times New Roman"/>
          <w:iCs/>
          <w:color w:val="000000" w:themeColor="text1"/>
        </w:rPr>
        <w:t xml:space="preserve">sectores rurales. </w:t>
      </w:r>
      <w:r w:rsidR="00405016" w:rsidRPr="00405016">
        <w:rPr>
          <w:rFonts w:ascii="Calibri" w:eastAsia="Times New Roman" w:hAnsi="Calibri" w:cs="Times New Roman"/>
          <w:iCs/>
          <w:color w:val="000000" w:themeColor="text1"/>
        </w:rPr>
        <w:t>Esto va de la mano con un trato más inclusivo de las etnias, grupos especialmente propios</w:t>
      </w:r>
      <w:r w:rsidR="00405016">
        <w:rPr>
          <w:rFonts w:ascii="Calibri" w:eastAsia="Times New Roman" w:hAnsi="Calibri" w:cs="Times New Roman"/>
          <w:iCs/>
          <w:color w:val="000000" w:themeColor="text1"/>
        </w:rPr>
        <w:t xml:space="preserve"> de la</w:t>
      </w:r>
      <w:r w:rsidR="00405016" w:rsidRPr="00405016">
        <w:rPr>
          <w:rFonts w:ascii="Calibri" w:eastAsia="Times New Roman" w:hAnsi="Calibri" w:cs="Times New Roman"/>
          <w:iCs/>
          <w:color w:val="000000" w:themeColor="text1"/>
        </w:rPr>
        <w:t xml:space="preserve"> región en cuestión: La Araucanía. </w:t>
      </w:r>
    </w:p>
    <w:p w14:paraId="3E76AA74" w14:textId="46048159" w:rsidR="00405016" w:rsidRDefault="00405016" w:rsidP="00405016">
      <w:pPr>
        <w:shd w:val="clear" w:color="auto" w:fill="FFFFFF"/>
        <w:spacing w:after="450" w:line="312" w:lineRule="atLeast"/>
        <w:jc w:val="both"/>
        <w:outlineLvl w:val="1"/>
        <w:rPr>
          <w:rFonts w:ascii="Calibri" w:eastAsia="Times New Roman" w:hAnsi="Calibri" w:cs="Times New Roman"/>
          <w:iCs/>
          <w:color w:val="000000" w:themeColor="text1"/>
        </w:rPr>
      </w:pPr>
      <w:r w:rsidRPr="00405016">
        <w:rPr>
          <w:rFonts w:ascii="Calibri" w:eastAsia="Times New Roman" w:hAnsi="Calibri" w:cs="Times New Roman"/>
          <w:iCs/>
          <w:color w:val="000000" w:themeColor="text1"/>
        </w:rPr>
        <w:t xml:space="preserve">La población infantil indígena representa un 2,3% del total de la población en Chile, y un 8,7% del total de menores de 18 años de edad (lo que equivale a cerca de 400 mil niños, niñas y adolescentes). De ese número, el 85,5% de la población infantil indígena pertenece al pueblo Mapuche y un 8,2% al pueblo Aymara. Las tres regiones que concentran la mayor población infantil indígena a nivel nacional son: </w:t>
      </w:r>
      <w:r w:rsidRPr="00405016">
        <w:rPr>
          <w:rFonts w:ascii="Calibri" w:eastAsia="Times New Roman" w:hAnsi="Calibri" w:cs="Times New Roman"/>
          <w:b/>
          <w:iCs/>
          <w:color w:val="000000" w:themeColor="text1"/>
        </w:rPr>
        <w:t>La Araucanía (24,3%)</w:t>
      </w:r>
      <w:r w:rsidRPr="00405016">
        <w:rPr>
          <w:rFonts w:ascii="Calibri" w:eastAsia="Times New Roman" w:hAnsi="Calibri" w:cs="Times New Roman"/>
          <w:iCs/>
          <w:color w:val="000000" w:themeColor="text1"/>
        </w:rPr>
        <w:t xml:space="preserve">, Metropolitana (23,8%) y Los Lagos (14,5%). </w:t>
      </w:r>
    </w:p>
    <w:p w14:paraId="7A9D6700" w14:textId="21B04D96" w:rsidR="00405016" w:rsidRPr="00F23D8C" w:rsidRDefault="0069329E" w:rsidP="00F23D8C">
      <w:pPr>
        <w:shd w:val="clear" w:color="auto" w:fill="FFFFFF"/>
        <w:spacing w:after="450" w:line="312" w:lineRule="atLeast"/>
        <w:jc w:val="both"/>
        <w:outlineLvl w:val="1"/>
        <w:rPr>
          <w:rFonts w:ascii="Calibri" w:eastAsia="Times New Roman" w:hAnsi="Calibri" w:cs="Times New Roman"/>
          <w:iCs/>
          <w:color w:val="000000" w:themeColor="text1"/>
        </w:rPr>
      </w:pPr>
      <w:r>
        <w:rPr>
          <w:rFonts w:ascii="Calibri" w:eastAsia="Times New Roman" w:hAnsi="Calibri" w:cs="Times New Roman"/>
          <w:iCs/>
          <w:color w:val="000000" w:themeColor="text1"/>
        </w:rPr>
        <w:t xml:space="preserve">¿Es justo que por cada niño que se financia en un Centro santiaguino se gaste lo mismo que para cuatro de la Araucanía? Las necesidades están claras, las prioridades no. Con el conocimiento acabado de la realidad actual es necesario reasignar y redistribuir de acuerdo al verdadero estado de las urgencias de nuestro país. Hay que trasparentar y modificar, nivelar y no segregar. Publicar y dar a conocer, puesto que con la notoriedad de las situaciones se logran los cambios, y definitivamente la Araucanía, así como otras regiones desplazadas, urgen de cambios. </w:t>
      </w:r>
    </w:p>
    <w:p w14:paraId="52AA1388" w14:textId="77777777" w:rsidR="001E5009" w:rsidRPr="001E5009" w:rsidRDefault="001E5009" w:rsidP="00994152">
      <w:pPr>
        <w:shd w:val="clear" w:color="auto" w:fill="FFFFFF"/>
        <w:spacing w:after="450" w:line="312" w:lineRule="atLeast"/>
        <w:jc w:val="both"/>
        <w:outlineLvl w:val="1"/>
        <w:rPr>
          <w:rFonts w:ascii="Calibri" w:eastAsia="Times New Roman" w:hAnsi="Calibri" w:cs="Times New Roman"/>
          <w:b/>
          <w:iCs/>
          <w:color w:val="000000" w:themeColor="text1"/>
        </w:rPr>
      </w:pPr>
    </w:p>
    <w:sectPr w:rsidR="001E5009" w:rsidRPr="001E5009" w:rsidSect="00FC34B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228F" w14:textId="77777777" w:rsidR="00CE4C80" w:rsidRDefault="00CE4C80" w:rsidP="00AB2A69">
      <w:r>
        <w:separator/>
      </w:r>
    </w:p>
  </w:endnote>
  <w:endnote w:type="continuationSeparator" w:id="0">
    <w:p w14:paraId="094E1070" w14:textId="77777777" w:rsidR="00CE4C80" w:rsidRDefault="00CE4C80" w:rsidP="00AB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799C" w14:textId="77777777" w:rsidR="00CE4C80" w:rsidRDefault="00CE4C80" w:rsidP="00AB2A69">
      <w:r>
        <w:separator/>
      </w:r>
    </w:p>
  </w:footnote>
  <w:footnote w:type="continuationSeparator" w:id="0">
    <w:p w14:paraId="1A601850" w14:textId="77777777" w:rsidR="00CE4C80" w:rsidRDefault="00CE4C80" w:rsidP="00AB2A69">
      <w:r>
        <w:continuationSeparator/>
      </w:r>
    </w:p>
  </w:footnote>
  <w:footnote w:id="1">
    <w:p w14:paraId="7C1E59AF" w14:textId="7E2D6FF1" w:rsidR="00AB2A69" w:rsidRDefault="00AB2A69">
      <w:pPr>
        <w:pStyle w:val="FootnoteText"/>
      </w:pPr>
      <w:r>
        <w:rPr>
          <w:rStyle w:val="FootnoteReference"/>
        </w:rPr>
        <w:footnoteRef/>
      </w:r>
      <w:r>
        <w:t xml:space="preserve"> Naciones Unidas – Cepal, 2016</w:t>
      </w:r>
    </w:p>
  </w:footnote>
  <w:footnote w:id="2">
    <w:p w14:paraId="65A72E6D" w14:textId="77777777" w:rsidR="00AB2A69" w:rsidRDefault="00AB2A69" w:rsidP="00AB2A69">
      <w:pPr>
        <w:pStyle w:val="FootnoteText"/>
      </w:pPr>
      <w:r>
        <w:rPr>
          <w:rStyle w:val="FootnoteReference"/>
        </w:rPr>
        <w:footnoteRef/>
      </w:r>
      <w:r>
        <w:t xml:space="preserve"> Servicio Nacional de Menores: Radiografía de una gestión deficiente, Centro de estudios plural</w:t>
      </w:r>
    </w:p>
  </w:footnote>
  <w:footnote w:id="3">
    <w:p w14:paraId="05AEECAF" w14:textId="77777777" w:rsidR="00AB2A69" w:rsidRDefault="00AB2A69" w:rsidP="00AB2A69">
      <w:pPr>
        <w:pStyle w:val="FootnoteText"/>
      </w:pPr>
      <w:r>
        <w:rPr>
          <w:rStyle w:val="FootnoteReference"/>
        </w:rPr>
        <w:footnoteRef/>
      </w:r>
      <w:r>
        <w:t xml:space="preserve"> CASEN, 2015</w:t>
      </w:r>
    </w:p>
  </w:footnote>
  <w:footnote w:id="4">
    <w:p w14:paraId="6F0DDCB8" w14:textId="0FDD38DD" w:rsidR="00AB2A69" w:rsidRDefault="00AB2A69">
      <w:pPr>
        <w:pStyle w:val="FootnoteText"/>
      </w:pPr>
      <w:r>
        <w:rPr>
          <w:rStyle w:val="FootnoteReference"/>
        </w:rPr>
        <w:footnoteRef/>
      </w:r>
      <w:r>
        <w:t xml:space="preserve"> Pobreza multidimensional en Chile, una nueva mirada – Ministerio de Desarrollo Social</w:t>
      </w:r>
    </w:p>
  </w:footnote>
  <w:footnote w:id="5">
    <w:p w14:paraId="58C0D9C9" w14:textId="307C31E4" w:rsidR="00AB2A69" w:rsidRDefault="00AB2A69">
      <w:pPr>
        <w:pStyle w:val="FootnoteText"/>
      </w:pPr>
      <w:r>
        <w:rPr>
          <w:rStyle w:val="FootnoteReference"/>
        </w:rPr>
        <w:footnoteRef/>
      </w:r>
      <w:r>
        <w:t xml:space="preserve"> Infancia Cuenta en Chile, 2016</w:t>
      </w:r>
    </w:p>
  </w:footnote>
  <w:footnote w:id="6">
    <w:p w14:paraId="4315A63D" w14:textId="2ECCB0C3" w:rsidR="00AB2A69" w:rsidRDefault="00AB2A69">
      <w:pPr>
        <w:pStyle w:val="FootnoteText"/>
      </w:pPr>
      <w:r>
        <w:rPr>
          <w:rStyle w:val="FootnoteReference"/>
        </w:rPr>
        <w:footnoteRef/>
      </w:r>
      <w:r>
        <w:t xml:space="preserve"> CASEN, 2015</w:t>
      </w:r>
    </w:p>
  </w:footnote>
  <w:footnote w:id="7">
    <w:p w14:paraId="61A282D5" w14:textId="4A06A02C" w:rsidR="00AB2A69" w:rsidRDefault="00AB2A69">
      <w:pPr>
        <w:pStyle w:val="FootnoteText"/>
      </w:pPr>
      <w:r>
        <w:rPr>
          <w:rStyle w:val="FootnoteReference"/>
        </w:rPr>
        <w:footnoteRef/>
      </w:r>
      <w:r>
        <w:t xml:space="preserve"> CASEN, 2013</w:t>
      </w:r>
    </w:p>
  </w:footnote>
  <w:footnote w:id="8">
    <w:p w14:paraId="155C4F22" w14:textId="651F36B2" w:rsidR="00AB2A69" w:rsidRDefault="00AB2A69">
      <w:pPr>
        <w:pStyle w:val="FootnoteText"/>
      </w:pPr>
      <w:r>
        <w:rPr>
          <w:rStyle w:val="FootnoteReference"/>
        </w:rPr>
        <w:footnoteRef/>
      </w:r>
      <w:r>
        <w:t xml:space="preserve"> CASEN,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1081B"/>
    <w:multiLevelType w:val="multilevel"/>
    <w:tmpl w:val="34D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55EB6"/>
    <w:multiLevelType w:val="multilevel"/>
    <w:tmpl w:val="545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CC"/>
    <w:rsid w:val="00066C6E"/>
    <w:rsid w:val="00081A00"/>
    <w:rsid w:val="000A02D5"/>
    <w:rsid w:val="0010371D"/>
    <w:rsid w:val="001E5009"/>
    <w:rsid w:val="001F3B34"/>
    <w:rsid w:val="00212203"/>
    <w:rsid w:val="00220E40"/>
    <w:rsid w:val="0024491F"/>
    <w:rsid w:val="002A1633"/>
    <w:rsid w:val="003616FA"/>
    <w:rsid w:val="00405016"/>
    <w:rsid w:val="004200CC"/>
    <w:rsid w:val="00572A33"/>
    <w:rsid w:val="0059301D"/>
    <w:rsid w:val="0069329E"/>
    <w:rsid w:val="00697EA5"/>
    <w:rsid w:val="007F4F3F"/>
    <w:rsid w:val="008562FC"/>
    <w:rsid w:val="009271A6"/>
    <w:rsid w:val="00994152"/>
    <w:rsid w:val="009B1A18"/>
    <w:rsid w:val="009C76A0"/>
    <w:rsid w:val="00A14E58"/>
    <w:rsid w:val="00A353ED"/>
    <w:rsid w:val="00AA63BA"/>
    <w:rsid w:val="00AB2A69"/>
    <w:rsid w:val="00B73AD0"/>
    <w:rsid w:val="00C80DD2"/>
    <w:rsid w:val="00CE49C5"/>
    <w:rsid w:val="00CE4C80"/>
    <w:rsid w:val="00DC2B91"/>
    <w:rsid w:val="00EA4042"/>
    <w:rsid w:val="00ED10B3"/>
    <w:rsid w:val="00F23D8C"/>
    <w:rsid w:val="00FC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061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Heading2">
    <w:name w:val="heading 2"/>
    <w:basedOn w:val="Normal"/>
    <w:link w:val="Heading2Char"/>
    <w:uiPriority w:val="9"/>
    <w:qFormat/>
    <w:rsid w:val="004200C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0CC"/>
    <w:rPr>
      <w:rFonts w:ascii="Times New Roman" w:hAnsi="Times New Roman" w:cs="Times New Roman"/>
      <w:b/>
      <w:bCs/>
      <w:sz w:val="36"/>
      <w:szCs w:val="36"/>
    </w:rPr>
  </w:style>
  <w:style w:type="paragraph" w:styleId="FootnoteText">
    <w:name w:val="footnote text"/>
    <w:basedOn w:val="Normal"/>
    <w:link w:val="FootnoteTextChar"/>
    <w:uiPriority w:val="99"/>
    <w:unhideWhenUsed/>
    <w:rsid w:val="00AB2A69"/>
  </w:style>
  <w:style w:type="character" w:customStyle="1" w:styleId="FootnoteTextChar">
    <w:name w:val="Footnote Text Char"/>
    <w:basedOn w:val="DefaultParagraphFont"/>
    <w:link w:val="FootnoteText"/>
    <w:uiPriority w:val="99"/>
    <w:rsid w:val="00AB2A69"/>
    <w:rPr>
      <w:lang w:val="es-ES"/>
    </w:rPr>
  </w:style>
  <w:style w:type="character" w:styleId="FootnoteReference">
    <w:name w:val="footnote reference"/>
    <w:basedOn w:val="DefaultParagraphFont"/>
    <w:uiPriority w:val="99"/>
    <w:unhideWhenUsed/>
    <w:rsid w:val="00AB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8524">
      <w:bodyDiv w:val="1"/>
      <w:marLeft w:val="0"/>
      <w:marRight w:val="0"/>
      <w:marTop w:val="0"/>
      <w:marBottom w:val="0"/>
      <w:divBdr>
        <w:top w:val="none" w:sz="0" w:space="0" w:color="auto"/>
        <w:left w:val="none" w:sz="0" w:space="0" w:color="auto"/>
        <w:bottom w:val="none" w:sz="0" w:space="0" w:color="auto"/>
        <w:right w:val="none" w:sz="0" w:space="0" w:color="auto"/>
      </w:divBdr>
    </w:div>
    <w:div w:id="40057095">
      <w:bodyDiv w:val="1"/>
      <w:marLeft w:val="0"/>
      <w:marRight w:val="0"/>
      <w:marTop w:val="0"/>
      <w:marBottom w:val="0"/>
      <w:divBdr>
        <w:top w:val="none" w:sz="0" w:space="0" w:color="auto"/>
        <w:left w:val="none" w:sz="0" w:space="0" w:color="auto"/>
        <w:bottom w:val="none" w:sz="0" w:space="0" w:color="auto"/>
        <w:right w:val="none" w:sz="0" w:space="0" w:color="auto"/>
      </w:divBdr>
    </w:div>
    <w:div w:id="68044412">
      <w:bodyDiv w:val="1"/>
      <w:marLeft w:val="0"/>
      <w:marRight w:val="0"/>
      <w:marTop w:val="0"/>
      <w:marBottom w:val="0"/>
      <w:divBdr>
        <w:top w:val="none" w:sz="0" w:space="0" w:color="auto"/>
        <w:left w:val="none" w:sz="0" w:space="0" w:color="auto"/>
        <w:bottom w:val="none" w:sz="0" w:space="0" w:color="auto"/>
        <w:right w:val="none" w:sz="0" w:space="0" w:color="auto"/>
      </w:divBdr>
    </w:div>
    <w:div w:id="104152350">
      <w:bodyDiv w:val="1"/>
      <w:marLeft w:val="0"/>
      <w:marRight w:val="0"/>
      <w:marTop w:val="0"/>
      <w:marBottom w:val="0"/>
      <w:divBdr>
        <w:top w:val="none" w:sz="0" w:space="0" w:color="auto"/>
        <w:left w:val="none" w:sz="0" w:space="0" w:color="auto"/>
        <w:bottom w:val="none" w:sz="0" w:space="0" w:color="auto"/>
        <w:right w:val="none" w:sz="0" w:space="0" w:color="auto"/>
      </w:divBdr>
    </w:div>
    <w:div w:id="174854413">
      <w:bodyDiv w:val="1"/>
      <w:marLeft w:val="0"/>
      <w:marRight w:val="0"/>
      <w:marTop w:val="0"/>
      <w:marBottom w:val="0"/>
      <w:divBdr>
        <w:top w:val="none" w:sz="0" w:space="0" w:color="auto"/>
        <w:left w:val="none" w:sz="0" w:space="0" w:color="auto"/>
        <w:bottom w:val="none" w:sz="0" w:space="0" w:color="auto"/>
        <w:right w:val="none" w:sz="0" w:space="0" w:color="auto"/>
      </w:divBdr>
    </w:div>
    <w:div w:id="236978910">
      <w:bodyDiv w:val="1"/>
      <w:marLeft w:val="0"/>
      <w:marRight w:val="0"/>
      <w:marTop w:val="0"/>
      <w:marBottom w:val="0"/>
      <w:divBdr>
        <w:top w:val="none" w:sz="0" w:space="0" w:color="auto"/>
        <w:left w:val="none" w:sz="0" w:space="0" w:color="auto"/>
        <w:bottom w:val="none" w:sz="0" w:space="0" w:color="auto"/>
        <w:right w:val="none" w:sz="0" w:space="0" w:color="auto"/>
      </w:divBdr>
    </w:div>
    <w:div w:id="274026859">
      <w:bodyDiv w:val="1"/>
      <w:marLeft w:val="0"/>
      <w:marRight w:val="0"/>
      <w:marTop w:val="0"/>
      <w:marBottom w:val="0"/>
      <w:divBdr>
        <w:top w:val="none" w:sz="0" w:space="0" w:color="auto"/>
        <w:left w:val="none" w:sz="0" w:space="0" w:color="auto"/>
        <w:bottom w:val="none" w:sz="0" w:space="0" w:color="auto"/>
        <w:right w:val="none" w:sz="0" w:space="0" w:color="auto"/>
      </w:divBdr>
    </w:div>
    <w:div w:id="305353775">
      <w:bodyDiv w:val="1"/>
      <w:marLeft w:val="0"/>
      <w:marRight w:val="0"/>
      <w:marTop w:val="0"/>
      <w:marBottom w:val="0"/>
      <w:divBdr>
        <w:top w:val="none" w:sz="0" w:space="0" w:color="auto"/>
        <w:left w:val="none" w:sz="0" w:space="0" w:color="auto"/>
        <w:bottom w:val="none" w:sz="0" w:space="0" w:color="auto"/>
        <w:right w:val="none" w:sz="0" w:space="0" w:color="auto"/>
      </w:divBdr>
    </w:div>
    <w:div w:id="320736365">
      <w:bodyDiv w:val="1"/>
      <w:marLeft w:val="0"/>
      <w:marRight w:val="0"/>
      <w:marTop w:val="0"/>
      <w:marBottom w:val="0"/>
      <w:divBdr>
        <w:top w:val="none" w:sz="0" w:space="0" w:color="auto"/>
        <w:left w:val="none" w:sz="0" w:space="0" w:color="auto"/>
        <w:bottom w:val="none" w:sz="0" w:space="0" w:color="auto"/>
        <w:right w:val="none" w:sz="0" w:space="0" w:color="auto"/>
      </w:divBdr>
    </w:div>
    <w:div w:id="353387126">
      <w:bodyDiv w:val="1"/>
      <w:marLeft w:val="0"/>
      <w:marRight w:val="0"/>
      <w:marTop w:val="0"/>
      <w:marBottom w:val="0"/>
      <w:divBdr>
        <w:top w:val="none" w:sz="0" w:space="0" w:color="auto"/>
        <w:left w:val="none" w:sz="0" w:space="0" w:color="auto"/>
        <w:bottom w:val="none" w:sz="0" w:space="0" w:color="auto"/>
        <w:right w:val="none" w:sz="0" w:space="0" w:color="auto"/>
      </w:divBdr>
    </w:div>
    <w:div w:id="438112210">
      <w:bodyDiv w:val="1"/>
      <w:marLeft w:val="0"/>
      <w:marRight w:val="0"/>
      <w:marTop w:val="0"/>
      <w:marBottom w:val="0"/>
      <w:divBdr>
        <w:top w:val="none" w:sz="0" w:space="0" w:color="auto"/>
        <w:left w:val="none" w:sz="0" w:space="0" w:color="auto"/>
        <w:bottom w:val="none" w:sz="0" w:space="0" w:color="auto"/>
        <w:right w:val="none" w:sz="0" w:space="0" w:color="auto"/>
      </w:divBdr>
    </w:div>
    <w:div w:id="671683451">
      <w:bodyDiv w:val="1"/>
      <w:marLeft w:val="0"/>
      <w:marRight w:val="0"/>
      <w:marTop w:val="0"/>
      <w:marBottom w:val="0"/>
      <w:divBdr>
        <w:top w:val="none" w:sz="0" w:space="0" w:color="auto"/>
        <w:left w:val="none" w:sz="0" w:space="0" w:color="auto"/>
        <w:bottom w:val="none" w:sz="0" w:space="0" w:color="auto"/>
        <w:right w:val="none" w:sz="0" w:space="0" w:color="auto"/>
      </w:divBdr>
      <w:divsChild>
        <w:div w:id="50886082">
          <w:marLeft w:val="0"/>
          <w:marRight w:val="0"/>
          <w:marTop w:val="0"/>
          <w:marBottom w:val="0"/>
          <w:divBdr>
            <w:top w:val="none" w:sz="0" w:space="0" w:color="auto"/>
            <w:left w:val="none" w:sz="0" w:space="0" w:color="auto"/>
            <w:bottom w:val="none" w:sz="0" w:space="0" w:color="auto"/>
            <w:right w:val="none" w:sz="0" w:space="0" w:color="auto"/>
          </w:divBdr>
        </w:div>
        <w:div w:id="1056276003">
          <w:marLeft w:val="0"/>
          <w:marRight w:val="0"/>
          <w:marTop w:val="0"/>
          <w:marBottom w:val="0"/>
          <w:divBdr>
            <w:top w:val="none" w:sz="0" w:space="0" w:color="auto"/>
            <w:left w:val="none" w:sz="0" w:space="0" w:color="auto"/>
            <w:bottom w:val="none" w:sz="0" w:space="0" w:color="auto"/>
            <w:right w:val="none" w:sz="0" w:space="0" w:color="auto"/>
          </w:divBdr>
        </w:div>
        <w:div w:id="663626272">
          <w:marLeft w:val="0"/>
          <w:marRight w:val="0"/>
          <w:marTop w:val="0"/>
          <w:marBottom w:val="0"/>
          <w:divBdr>
            <w:top w:val="none" w:sz="0" w:space="0" w:color="auto"/>
            <w:left w:val="none" w:sz="0" w:space="0" w:color="auto"/>
            <w:bottom w:val="none" w:sz="0" w:space="0" w:color="auto"/>
            <w:right w:val="none" w:sz="0" w:space="0" w:color="auto"/>
          </w:divBdr>
        </w:div>
        <w:div w:id="880436910">
          <w:marLeft w:val="0"/>
          <w:marRight w:val="0"/>
          <w:marTop w:val="0"/>
          <w:marBottom w:val="0"/>
          <w:divBdr>
            <w:top w:val="none" w:sz="0" w:space="0" w:color="auto"/>
            <w:left w:val="none" w:sz="0" w:space="0" w:color="auto"/>
            <w:bottom w:val="none" w:sz="0" w:space="0" w:color="auto"/>
            <w:right w:val="none" w:sz="0" w:space="0" w:color="auto"/>
          </w:divBdr>
        </w:div>
        <w:div w:id="1405253912">
          <w:marLeft w:val="0"/>
          <w:marRight w:val="0"/>
          <w:marTop w:val="0"/>
          <w:marBottom w:val="0"/>
          <w:divBdr>
            <w:top w:val="none" w:sz="0" w:space="0" w:color="auto"/>
            <w:left w:val="none" w:sz="0" w:space="0" w:color="auto"/>
            <w:bottom w:val="none" w:sz="0" w:space="0" w:color="auto"/>
            <w:right w:val="none" w:sz="0" w:space="0" w:color="auto"/>
          </w:divBdr>
        </w:div>
      </w:divsChild>
    </w:div>
    <w:div w:id="794562830">
      <w:bodyDiv w:val="1"/>
      <w:marLeft w:val="0"/>
      <w:marRight w:val="0"/>
      <w:marTop w:val="0"/>
      <w:marBottom w:val="0"/>
      <w:divBdr>
        <w:top w:val="none" w:sz="0" w:space="0" w:color="auto"/>
        <w:left w:val="none" w:sz="0" w:space="0" w:color="auto"/>
        <w:bottom w:val="none" w:sz="0" w:space="0" w:color="auto"/>
        <w:right w:val="none" w:sz="0" w:space="0" w:color="auto"/>
      </w:divBdr>
    </w:div>
    <w:div w:id="941302780">
      <w:bodyDiv w:val="1"/>
      <w:marLeft w:val="0"/>
      <w:marRight w:val="0"/>
      <w:marTop w:val="0"/>
      <w:marBottom w:val="0"/>
      <w:divBdr>
        <w:top w:val="none" w:sz="0" w:space="0" w:color="auto"/>
        <w:left w:val="none" w:sz="0" w:space="0" w:color="auto"/>
        <w:bottom w:val="none" w:sz="0" w:space="0" w:color="auto"/>
        <w:right w:val="none" w:sz="0" w:space="0" w:color="auto"/>
      </w:divBdr>
    </w:div>
    <w:div w:id="945847442">
      <w:bodyDiv w:val="1"/>
      <w:marLeft w:val="0"/>
      <w:marRight w:val="0"/>
      <w:marTop w:val="0"/>
      <w:marBottom w:val="0"/>
      <w:divBdr>
        <w:top w:val="none" w:sz="0" w:space="0" w:color="auto"/>
        <w:left w:val="none" w:sz="0" w:space="0" w:color="auto"/>
        <w:bottom w:val="none" w:sz="0" w:space="0" w:color="auto"/>
        <w:right w:val="none" w:sz="0" w:space="0" w:color="auto"/>
      </w:divBdr>
    </w:div>
    <w:div w:id="952709942">
      <w:bodyDiv w:val="1"/>
      <w:marLeft w:val="0"/>
      <w:marRight w:val="0"/>
      <w:marTop w:val="0"/>
      <w:marBottom w:val="0"/>
      <w:divBdr>
        <w:top w:val="none" w:sz="0" w:space="0" w:color="auto"/>
        <w:left w:val="none" w:sz="0" w:space="0" w:color="auto"/>
        <w:bottom w:val="none" w:sz="0" w:space="0" w:color="auto"/>
        <w:right w:val="none" w:sz="0" w:space="0" w:color="auto"/>
      </w:divBdr>
      <w:divsChild>
        <w:div w:id="627127001">
          <w:marLeft w:val="0"/>
          <w:marRight w:val="0"/>
          <w:marTop w:val="0"/>
          <w:marBottom w:val="0"/>
          <w:divBdr>
            <w:top w:val="none" w:sz="0" w:space="0" w:color="auto"/>
            <w:left w:val="none" w:sz="0" w:space="0" w:color="auto"/>
            <w:bottom w:val="none" w:sz="0" w:space="0" w:color="auto"/>
            <w:right w:val="none" w:sz="0" w:space="0" w:color="auto"/>
          </w:divBdr>
        </w:div>
        <w:div w:id="1146555806">
          <w:marLeft w:val="0"/>
          <w:marRight w:val="0"/>
          <w:marTop w:val="0"/>
          <w:marBottom w:val="0"/>
          <w:divBdr>
            <w:top w:val="none" w:sz="0" w:space="0" w:color="auto"/>
            <w:left w:val="none" w:sz="0" w:space="0" w:color="auto"/>
            <w:bottom w:val="none" w:sz="0" w:space="0" w:color="auto"/>
            <w:right w:val="none" w:sz="0" w:space="0" w:color="auto"/>
          </w:divBdr>
        </w:div>
        <w:div w:id="1957784672">
          <w:marLeft w:val="0"/>
          <w:marRight w:val="0"/>
          <w:marTop w:val="0"/>
          <w:marBottom w:val="0"/>
          <w:divBdr>
            <w:top w:val="none" w:sz="0" w:space="0" w:color="auto"/>
            <w:left w:val="none" w:sz="0" w:space="0" w:color="auto"/>
            <w:bottom w:val="none" w:sz="0" w:space="0" w:color="auto"/>
            <w:right w:val="none" w:sz="0" w:space="0" w:color="auto"/>
          </w:divBdr>
        </w:div>
        <w:div w:id="944726388">
          <w:marLeft w:val="0"/>
          <w:marRight w:val="0"/>
          <w:marTop w:val="0"/>
          <w:marBottom w:val="0"/>
          <w:divBdr>
            <w:top w:val="none" w:sz="0" w:space="0" w:color="auto"/>
            <w:left w:val="none" w:sz="0" w:space="0" w:color="auto"/>
            <w:bottom w:val="none" w:sz="0" w:space="0" w:color="auto"/>
            <w:right w:val="none" w:sz="0" w:space="0" w:color="auto"/>
          </w:divBdr>
        </w:div>
        <w:div w:id="1368024343">
          <w:marLeft w:val="0"/>
          <w:marRight w:val="0"/>
          <w:marTop w:val="0"/>
          <w:marBottom w:val="0"/>
          <w:divBdr>
            <w:top w:val="none" w:sz="0" w:space="0" w:color="auto"/>
            <w:left w:val="none" w:sz="0" w:space="0" w:color="auto"/>
            <w:bottom w:val="none" w:sz="0" w:space="0" w:color="auto"/>
            <w:right w:val="none" w:sz="0" w:space="0" w:color="auto"/>
          </w:divBdr>
        </w:div>
      </w:divsChild>
    </w:div>
    <w:div w:id="1274165946">
      <w:bodyDiv w:val="1"/>
      <w:marLeft w:val="0"/>
      <w:marRight w:val="0"/>
      <w:marTop w:val="0"/>
      <w:marBottom w:val="0"/>
      <w:divBdr>
        <w:top w:val="none" w:sz="0" w:space="0" w:color="auto"/>
        <w:left w:val="none" w:sz="0" w:space="0" w:color="auto"/>
        <w:bottom w:val="none" w:sz="0" w:space="0" w:color="auto"/>
        <w:right w:val="none" w:sz="0" w:space="0" w:color="auto"/>
      </w:divBdr>
      <w:divsChild>
        <w:div w:id="1299653570">
          <w:marLeft w:val="0"/>
          <w:marRight w:val="0"/>
          <w:marTop w:val="0"/>
          <w:marBottom w:val="0"/>
          <w:divBdr>
            <w:top w:val="none" w:sz="0" w:space="0" w:color="auto"/>
            <w:left w:val="none" w:sz="0" w:space="0" w:color="auto"/>
            <w:bottom w:val="none" w:sz="0" w:space="0" w:color="auto"/>
            <w:right w:val="none" w:sz="0" w:space="0" w:color="auto"/>
          </w:divBdr>
        </w:div>
        <w:div w:id="1463572416">
          <w:marLeft w:val="0"/>
          <w:marRight w:val="0"/>
          <w:marTop w:val="0"/>
          <w:marBottom w:val="0"/>
          <w:divBdr>
            <w:top w:val="none" w:sz="0" w:space="0" w:color="auto"/>
            <w:left w:val="none" w:sz="0" w:space="0" w:color="auto"/>
            <w:bottom w:val="none" w:sz="0" w:space="0" w:color="auto"/>
            <w:right w:val="none" w:sz="0" w:space="0" w:color="auto"/>
          </w:divBdr>
        </w:div>
        <w:div w:id="289673640">
          <w:marLeft w:val="0"/>
          <w:marRight w:val="0"/>
          <w:marTop w:val="0"/>
          <w:marBottom w:val="0"/>
          <w:divBdr>
            <w:top w:val="none" w:sz="0" w:space="0" w:color="auto"/>
            <w:left w:val="none" w:sz="0" w:space="0" w:color="auto"/>
            <w:bottom w:val="none" w:sz="0" w:space="0" w:color="auto"/>
            <w:right w:val="none" w:sz="0" w:space="0" w:color="auto"/>
          </w:divBdr>
        </w:div>
        <w:div w:id="1898777239">
          <w:marLeft w:val="0"/>
          <w:marRight w:val="0"/>
          <w:marTop w:val="0"/>
          <w:marBottom w:val="0"/>
          <w:divBdr>
            <w:top w:val="none" w:sz="0" w:space="0" w:color="auto"/>
            <w:left w:val="none" w:sz="0" w:space="0" w:color="auto"/>
            <w:bottom w:val="none" w:sz="0" w:space="0" w:color="auto"/>
            <w:right w:val="none" w:sz="0" w:space="0" w:color="auto"/>
          </w:divBdr>
        </w:div>
        <w:div w:id="1240752680">
          <w:marLeft w:val="0"/>
          <w:marRight w:val="0"/>
          <w:marTop w:val="0"/>
          <w:marBottom w:val="0"/>
          <w:divBdr>
            <w:top w:val="none" w:sz="0" w:space="0" w:color="auto"/>
            <w:left w:val="none" w:sz="0" w:space="0" w:color="auto"/>
            <w:bottom w:val="none" w:sz="0" w:space="0" w:color="auto"/>
            <w:right w:val="none" w:sz="0" w:space="0" w:color="auto"/>
          </w:divBdr>
        </w:div>
        <w:div w:id="718355594">
          <w:marLeft w:val="0"/>
          <w:marRight w:val="0"/>
          <w:marTop w:val="0"/>
          <w:marBottom w:val="0"/>
          <w:divBdr>
            <w:top w:val="none" w:sz="0" w:space="0" w:color="auto"/>
            <w:left w:val="none" w:sz="0" w:space="0" w:color="auto"/>
            <w:bottom w:val="none" w:sz="0" w:space="0" w:color="auto"/>
            <w:right w:val="none" w:sz="0" w:space="0" w:color="auto"/>
          </w:divBdr>
        </w:div>
        <w:div w:id="282153281">
          <w:marLeft w:val="0"/>
          <w:marRight w:val="0"/>
          <w:marTop w:val="0"/>
          <w:marBottom w:val="0"/>
          <w:divBdr>
            <w:top w:val="none" w:sz="0" w:space="0" w:color="auto"/>
            <w:left w:val="none" w:sz="0" w:space="0" w:color="auto"/>
            <w:bottom w:val="none" w:sz="0" w:space="0" w:color="auto"/>
            <w:right w:val="none" w:sz="0" w:space="0" w:color="auto"/>
          </w:divBdr>
        </w:div>
        <w:div w:id="1080760070">
          <w:marLeft w:val="0"/>
          <w:marRight w:val="0"/>
          <w:marTop w:val="0"/>
          <w:marBottom w:val="0"/>
          <w:divBdr>
            <w:top w:val="none" w:sz="0" w:space="0" w:color="auto"/>
            <w:left w:val="none" w:sz="0" w:space="0" w:color="auto"/>
            <w:bottom w:val="none" w:sz="0" w:space="0" w:color="auto"/>
            <w:right w:val="none" w:sz="0" w:space="0" w:color="auto"/>
          </w:divBdr>
        </w:div>
      </w:divsChild>
    </w:div>
    <w:div w:id="1279677824">
      <w:bodyDiv w:val="1"/>
      <w:marLeft w:val="0"/>
      <w:marRight w:val="0"/>
      <w:marTop w:val="0"/>
      <w:marBottom w:val="0"/>
      <w:divBdr>
        <w:top w:val="none" w:sz="0" w:space="0" w:color="auto"/>
        <w:left w:val="none" w:sz="0" w:space="0" w:color="auto"/>
        <w:bottom w:val="none" w:sz="0" w:space="0" w:color="auto"/>
        <w:right w:val="none" w:sz="0" w:space="0" w:color="auto"/>
      </w:divBdr>
    </w:div>
    <w:div w:id="1303193677">
      <w:bodyDiv w:val="1"/>
      <w:marLeft w:val="0"/>
      <w:marRight w:val="0"/>
      <w:marTop w:val="0"/>
      <w:marBottom w:val="0"/>
      <w:divBdr>
        <w:top w:val="none" w:sz="0" w:space="0" w:color="auto"/>
        <w:left w:val="none" w:sz="0" w:space="0" w:color="auto"/>
        <w:bottom w:val="none" w:sz="0" w:space="0" w:color="auto"/>
        <w:right w:val="none" w:sz="0" w:space="0" w:color="auto"/>
      </w:divBdr>
    </w:div>
    <w:div w:id="1397169516">
      <w:bodyDiv w:val="1"/>
      <w:marLeft w:val="0"/>
      <w:marRight w:val="0"/>
      <w:marTop w:val="0"/>
      <w:marBottom w:val="0"/>
      <w:divBdr>
        <w:top w:val="none" w:sz="0" w:space="0" w:color="auto"/>
        <w:left w:val="none" w:sz="0" w:space="0" w:color="auto"/>
        <w:bottom w:val="none" w:sz="0" w:space="0" w:color="auto"/>
        <w:right w:val="none" w:sz="0" w:space="0" w:color="auto"/>
      </w:divBdr>
    </w:div>
    <w:div w:id="1528373944">
      <w:bodyDiv w:val="1"/>
      <w:marLeft w:val="0"/>
      <w:marRight w:val="0"/>
      <w:marTop w:val="0"/>
      <w:marBottom w:val="0"/>
      <w:divBdr>
        <w:top w:val="none" w:sz="0" w:space="0" w:color="auto"/>
        <w:left w:val="none" w:sz="0" w:space="0" w:color="auto"/>
        <w:bottom w:val="none" w:sz="0" w:space="0" w:color="auto"/>
        <w:right w:val="none" w:sz="0" w:space="0" w:color="auto"/>
      </w:divBdr>
      <w:divsChild>
        <w:div w:id="1107626863">
          <w:marLeft w:val="0"/>
          <w:marRight w:val="0"/>
          <w:marTop w:val="0"/>
          <w:marBottom w:val="0"/>
          <w:divBdr>
            <w:top w:val="none" w:sz="0" w:space="0" w:color="auto"/>
            <w:left w:val="none" w:sz="0" w:space="0" w:color="auto"/>
            <w:bottom w:val="none" w:sz="0" w:space="0" w:color="auto"/>
            <w:right w:val="none" w:sz="0" w:space="0" w:color="auto"/>
          </w:divBdr>
        </w:div>
        <w:div w:id="988636639">
          <w:marLeft w:val="0"/>
          <w:marRight w:val="0"/>
          <w:marTop w:val="0"/>
          <w:marBottom w:val="0"/>
          <w:divBdr>
            <w:top w:val="none" w:sz="0" w:space="0" w:color="auto"/>
            <w:left w:val="none" w:sz="0" w:space="0" w:color="auto"/>
            <w:bottom w:val="none" w:sz="0" w:space="0" w:color="auto"/>
            <w:right w:val="none" w:sz="0" w:space="0" w:color="auto"/>
          </w:divBdr>
        </w:div>
        <w:div w:id="817651260">
          <w:marLeft w:val="0"/>
          <w:marRight w:val="0"/>
          <w:marTop w:val="0"/>
          <w:marBottom w:val="0"/>
          <w:divBdr>
            <w:top w:val="none" w:sz="0" w:space="0" w:color="auto"/>
            <w:left w:val="none" w:sz="0" w:space="0" w:color="auto"/>
            <w:bottom w:val="none" w:sz="0" w:space="0" w:color="auto"/>
            <w:right w:val="none" w:sz="0" w:space="0" w:color="auto"/>
          </w:divBdr>
        </w:div>
        <w:div w:id="1038777160">
          <w:marLeft w:val="0"/>
          <w:marRight w:val="0"/>
          <w:marTop w:val="0"/>
          <w:marBottom w:val="0"/>
          <w:divBdr>
            <w:top w:val="none" w:sz="0" w:space="0" w:color="auto"/>
            <w:left w:val="none" w:sz="0" w:space="0" w:color="auto"/>
            <w:bottom w:val="none" w:sz="0" w:space="0" w:color="auto"/>
            <w:right w:val="none" w:sz="0" w:space="0" w:color="auto"/>
          </w:divBdr>
        </w:div>
        <w:div w:id="439420321">
          <w:marLeft w:val="0"/>
          <w:marRight w:val="0"/>
          <w:marTop w:val="0"/>
          <w:marBottom w:val="0"/>
          <w:divBdr>
            <w:top w:val="none" w:sz="0" w:space="0" w:color="auto"/>
            <w:left w:val="none" w:sz="0" w:space="0" w:color="auto"/>
            <w:bottom w:val="none" w:sz="0" w:space="0" w:color="auto"/>
            <w:right w:val="none" w:sz="0" w:space="0" w:color="auto"/>
          </w:divBdr>
        </w:div>
        <w:div w:id="1980457990">
          <w:marLeft w:val="0"/>
          <w:marRight w:val="0"/>
          <w:marTop w:val="0"/>
          <w:marBottom w:val="0"/>
          <w:divBdr>
            <w:top w:val="none" w:sz="0" w:space="0" w:color="auto"/>
            <w:left w:val="none" w:sz="0" w:space="0" w:color="auto"/>
            <w:bottom w:val="none" w:sz="0" w:space="0" w:color="auto"/>
            <w:right w:val="none" w:sz="0" w:space="0" w:color="auto"/>
          </w:divBdr>
        </w:div>
        <w:div w:id="1520972641">
          <w:marLeft w:val="0"/>
          <w:marRight w:val="0"/>
          <w:marTop w:val="0"/>
          <w:marBottom w:val="0"/>
          <w:divBdr>
            <w:top w:val="none" w:sz="0" w:space="0" w:color="auto"/>
            <w:left w:val="none" w:sz="0" w:space="0" w:color="auto"/>
            <w:bottom w:val="none" w:sz="0" w:space="0" w:color="auto"/>
            <w:right w:val="none" w:sz="0" w:space="0" w:color="auto"/>
          </w:divBdr>
        </w:div>
        <w:div w:id="647440536">
          <w:marLeft w:val="0"/>
          <w:marRight w:val="0"/>
          <w:marTop w:val="0"/>
          <w:marBottom w:val="0"/>
          <w:divBdr>
            <w:top w:val="none" w:sz="0" w:space="0" w:color="auto"/>
            <w:left w:val="none" w:sz="0" w:space="0" w:color="auto"/>
            <w:bottom w:val="none" w:sz="0" w:space="0" w:color="auto"/>
            <w:right w:val="none" w:sz="0" w:space="0" w:color="auto"/>
          </w:divBdr>
        </w:div>
      </w:divsChild>
    </w:div>
    <w:div w:id="1582982211">
      <w:bodyDiv w:val="1"/>
      <w:marLeft w:val="0"/>
      <w:marRight w:val="0"/>
      <w:marTop w:val="0"/>
      <w:marBottom w:val="0"/>
      <w:divBdr>
        <w:top w:val="none" w:sz="0" w:space="0" w:color="auto"/>
        <w:left w:val="none" w:sz="0" w:space="0" w:color="auto"/>
        <w:bottom w:val="none" w:sz="0" w:space="0" w:color="auto"/>
        <w:right w:val="none" w:sz="0" w:space="0" w:color="auto"/>
      </w:divBdr>
    </w:div>
    <w:div w:id="1756512816">
      <w:bodyDiv w:val="1"/>
      <w:marLeft w:val="0"/>
      <w:marRight w:val="0"/>
      <w:marTop w:val="0"/>
      <w:marBottom w:val="0"/>
      <w:divBdr>
        <w:top w:val="none" w:sz="0" w:space="0" w:color="auto"/>
        <w:left w:val="none" w:sz="0" w:space="0" w:color="auto"/>
        <w:bottom w:val="none" w:sz="0" w:space="0" w:color="auto"/>
        <w:right w:val="none" w:sz="0" w:space="0" w:color="auto"/>
      </w:divBdr>
    </w:div>
    <w:div w:id="1799756027">
      <w:bodyDiv w:val="1"/>
      <w:marLeft w:val="0"/>
      <w:marRight w:val="0"/>
      <w:marTop w:val="0"/>
      <w:marBottom w:val="0"/>
      <w:divBdr>
        <w:top w:val="none" w:sz="0" w:space="0" w:color="auto"/>
        <w:left w:val="none" w:sz="0" w:space="0" w:color="auto"/>
        <w:bottom w:val="none" w:sz="0" w:space="0" w:color="auto"/>
        <w:right w:val="none" w:sz="0" w:space="0" w:color="auto"/>
      </w:divBdr>
    </w:div>
    <w:div w:id="1821340454">
      <w:bodyDiv w:val="1"/>
      <w:marLeft w:val="0"/>
      <w:marRight w:val="0"/>
      <w:marTop w:val="0"/>
      <w:marBottom w:val="0"/>
      <w:divBdr>
        <w:top w:val="none" w:sz="0" w:space="0" w:color="auto"/>
        <w:left w:val="none" w:sz="0" w:space="0" w:color="auto"/>
        <w:bottom w:val="none" w:sz="0" w:space="0" w:color="auto"/>
        <w:right w:val="none" w:sz="0" w:space="0" w:color="auto"/>
      </w:divBdr>
    </w:div>
    <w:div w:id="1823082745">
      <w:bodyDiv w:val="1"/>
      <w:marLeft w:val="0"/>
      <w:marRight w:val="0"/>
      <w:marTop w:val="0"/>
      <w:marBottom w:val="0"/>
      <w:divBdr>
        <w:top w:val="none" w:sz="0" w:space="0" w:color="auto"/>
        <w:left w:val="none" w:sz="0" w:space="0" w:color="auto"/>
        <w:bottom w:val="none" w:sz="0" w:space="0" w:color="auto"/>
        <w:right w:val="none" w:sz="0" w:space="0" w:color="auto"/>
      </w:divBdr>
    </w:div>
    <w:div w:id="1829319673">
      <w:bodyDiv w:val="1"/>
      <w:marLeft w:val="0"/>
      <w:marRight w:val="0"/>
      <w:marTop w:val="0"/>
      <w:marBottom w:val="0"/>
      <w:divBdr>
        <w:top w:val="none" w:sz="0" w:space="0" w:color="auto"/>
        <w:left w:val="none" w:sz="0" w:space="0" w:color="auto"/>
        <w:bottom w:val="none" w:sz="0" w:space="0" w:color="auto"/>
        <w:right w:val="none" w:sz="0" w:space="0" w:color="auto"/>
      </w:divBdr>
    </w:div>
    <w:div w:id="1887722136">
      <w:bodyDiv w:val="1"/>
      <w:marLeft w:val="0"/>
      <w:marRight w:val="0"/>
      <w:marTop w:val="0"/>
      <w:marBottom w:val="0"/>
      <w:divBdr>
        <w:top w:val="none" w:sz="0" w:space="0" w:color="auto"/>
        <w:left w:val="none" w:sz="0" w:space="0" w:color="auto"/>
        <w:bottom w:val="none" w:sz="0" w:space="0" w:color="auto"/>
        <w:right w:val="none" w:sz="0" w:space="0" w:color="auto"/>
      </w:divBdr>
    </w:div>
    <w:div w:id="1903907064">
      <w:bodyDiv w:val="1"/>
      <w:marLeft w:val="0"/>
      <w:marRight w:val="0"/>
      <w:marTop w:val="0"/>
      <w:marBottom w:val="0"/>
      <w:divBdr>
        <w:top w:val="none" w:sz="0" w:space="0" w:color="auto"/>
        <w:left w:val="none" w:sz="0" w:space="0" w:color="auto"/>
        <w:bottom w:val="none" w:sz="0" w:space="0" w:color="auto"/>
        <w:right w:val="none" w:sz="0" w:space="0" w:color="auto"/>
      </w:divBdr>
    </w:div>
    <w:div w:id="1969512220">
      <w:bodyDiv w:val="1"/>
      <w:marLeft w:val="0"/>
      <w:marRight w:val="0"/>
      <w:marTop w:val="0"/>
      <w:marBottom w:val="0"/>
      <w:divBdr>
        <w:top w:val="none" w:sz="0" w:space="0" w:color="auto"/>
        <w:left w:val="none" w:sz="0" w:space="0" w:color="auto"/>
        <w:bottom w:val="none" w:sz="0" w:space="0" w:color="auto"/>
        <w:right w:val="none" w:sz="0" w:space="0" w:color="auto"/>
      </w:divBdr>
    </w:div>
    <w:div w:id="1995258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FBC2BB-3A8C-D44B-81F1-5B019913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1522</Words>
  <Characters>8681</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t:lpstr>
      <vt:lpstr>    </vt:lpstr>
      <vt:lpstr>    </vt:lpstr>
      <vt:lpstr>    SITUACIÓN INFANCIA REGIÓN DE LA ARAUCANÍA</vt:lpstr>
      <vt:lpstr>    Desigualdad en el financiamiento institucional de NNA</vt:lpstr>
      <vt:lpstr>    Según un informe de la Cepal, la pobreza infantil constituye, de modo particular</vt:lpstr>
      <vt:lpstr>    En Chile, la situación de los niños ha ocupado las portadas de los diarios en el</vt:lpstr>
      <vt:lpstr>    Si bien ese abandono es generalizado, existen matices respecto de la relevancia </vt:lpstr>
      <vt:lpstr>    La magnitud de la diferencia existente entre los distintos centros se puede obse</vt:lpstr>
      <vt:lpstr>    Tan sólo un escalón más arriba en la tabla de la desigualdad se encuentra Chol C</vt:lpstr>
      <vt:lpstr>    La pregunta es de suma relevancia, puesto que si en los hechos las condiciones d</vt:lpstr>
      <vt:lpstr>    Así lo comprueban los resultados que entrega la encuesta CASEN 2015, que en rasg</vt:lpstr>
      <vt:lpstr>    Mientras que, respecto de la pobreza infantil, Las regiones de La Araucanía, Mau</vt:lpstr>
      <vt:lpstr>    Pobreza Multidimensional</vt:lpstr>
      <vt:lpstr>    Históricamente la pobreza se ha medido a través del ingreso que nos entregan las</vt:lpstr>
      <vt:lpstr>    De acuerdo al informe Infancia Cuenta en Chile 2016, “a diferencia de los result</vt:lpstr>
      <vt:lpstr>    El mismo informe recalca, sin embargo, que a pesar de lo anterior, los que sufre</vt:lpstr>
      <vt:lpstr>    Con esta nueva y más acabada forma de concebir la pobreza, es necesario mirar el</vt:lpstr>
      <vt:lpstr>    Problema étnico</vt:lpstr>
      <vt:lpstr>    A mayor abundamiento, es un hecho histórico en la realidad de nuestro país, que </vt:lpstr>
      <vt:lpstr>    Las mismas cifras con las que se concluye que La Araucanía es la región con más </vt:lpstr>
      <vt:lpstr>    En Chile, un 8,7% de la población menor de 18 años es indígena, grupo que concen</vt:lpstr>
      <vt:lpstr>    </vt:lpstr>
      <vt:lpstr>    </vt:lpstr>
      <vt:lpstr>    Conclusiones</vt:lpstr>
      <vt:lpstr>    A la ya subrayada falta de equidad en la distribución de los fondos destinados a</vt:lpstr>
      <vt:lpstr>    Es necesario, en primer lugar, hacer un esfuerzo por La Araucanía, como la zona </vt:lpstr>
      <vt:lpstr>    Por lo mismo es necesario, en primer lugar, trasparentar los motivos que llevan </vt:lpstr>
      <vt:lpstr>    La población infantil indígena representa un 2,3% del total de la población en C</vt:lpstr>
      <vt:lpstr>    </vt:lpstr>
      <vt:lpstr>    </vt:lpstr>
      <vt:lpstr>    </vt:lpstr>
    </vt:vector>
  </TitlesOfParts>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Iruarrizaga</dc:creator>
  <cp:keywords/>
  <dc:description/>
  <cp:lastModifiedBy>Javier de Iruarrizaga</cp:lastModifiedBy>
  <cp:revision>3</cp:revision>
  <dcterms:created xsi:type="dcterms:W3CDTF">2018-05-07T19:47:00Z</dcterms:created>
  <dcterms:modified xsi:type="dcterms:W3CDTF">2018-05-09T14:41:00Z</dcterms:modified>
</cp:coreProperties>
</file>