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56226807"/>
        <w:docPartObj>
          <w:docPartGallery w:val="Cover Pages"/>
          <w:docPartUnique/>
        </w:docPartObj>
      </w:sdtPr>
      <w:sdtEndPr>
        <w:rPr>
          <w:rFonts w:ascii="Palatino Linotype" w:hAnsi="Palatino Linotype"/>
          <w:b/>
          <w:sz w:val="40"/>
          <w:szCs w:val="40"/>
          <w:u w:val="single"/>
        </w:rPr>
      </w:sdtEndPr>
      <w:sdtContent>
        <w:p w14:paraId="35B4BC94" w14:textId="77777777" w:rsidR="00255D5D" w:rsidRPr="005471E8" w:rsidRDefault="00255D5D" w:rsidP="00255D5D">
          <w:pPr>
            <w:jc w:val="center"/>
            <w:rPr>
              <w:rFonts w:ascii="Arial" w:hAnsi="Arial" w:cs="Arial"/>
              <w:b/>
              <w:lang w:val="es-ES"/>
            </w:rPr>
          </w:pPr>
          <w:r w:rsidRPr="005471E8">
            <w:rPr>
              <w:rFonts w:ascii="Arial" w:hAnsi="Arial" w:cs="Arial"/>
              <w:b/>
              <w:lang w:val="es-ES"/>
            </w:rPr>
            <w:t>ASESORÍA EXTERNA</w:t>
          </w:r>
        </w:p>
        <w:p w14:paraId="71B34E35" w14:textId="15F4A9A8" w:rsidR="00255D5D" w:rsidRPr="005471E8" w:rsidRDefault="00255D5D" w:rsidP="00255D5D">
          <w:pPr>
            <w:jc w:val="center"/>
            <w:rPr>
              <w:rFonts w:ascii="Arial" w:hAnsi="Arial" w:cs="Arial"/>
              <w:b/>
              <w:lang w:val="es-ES"/>
            </w:rPr>
          </w:pPr>
          <w:r>
            <w:rPr>
              <w:rFonts w:ascii="Arial" w:hAnsi="Arial" w:cs="Arial"/>
              <w:b/>
              <w:lang w:val="es-ES"/>
            </w:rPr>
            <w:t>01</w:t>
          </w:r>
          <w:r w:rsidRPr="005471E8">
            <w:rPr>
              <w:rFonts w:ascii="Arial" w:hAnsi="Arial" w:cs="Arial"/>
              <w:b/>
              <w:lang w:val="es-ES"/>
            </w:rPr>
            <w:t xml:space="preserve"> de Ju</w:t>
          </w:r>
          <w:r w:rsidR="005D56ED">
            <w:rPr>
              <w:rFonts w:ascii="Arial" w:hAnsi="Arial" w:cs="Arial"/>
              <w:b/>
              <w:lang w:val="es-ES"/>
            </w:rPr>
            <w:t>l</w:t>
          </w:r>
          <w:r w:rsidRPr="005471E8">
            <w:rPr>
              <w:rFonts w:ascii="Arial" w:hAnsi="Arial" w:cs="Arial"/>
              <w:b/>
              <w:lang w:val="es-ES"/>
            </w:rPr>
            <w:t>io 2018</w:t>
          </w:r>
        </w:p>
        <w:p w14:paraId="06CC3C4C" w14:textId="77777777" w:rsidR="00255D5D" w:rsidRPr="005471E8" w:rsidRDefault="00255D5D" w:rsidP="00255D5D">
          <w:pPr>
            <w:jc w:val="center"/>
            <w:rPr>
              <w:rFonts w:ascii="Arial" w:hAnsi="Arial" w:cs="Arial"/>
              <w:b/>
              <w:lang w:val="es-ES"/>
            </w:rPr>
          </w:pPr>
        </w:p>
        <w:p w14:paraId="6431D898" w14:textId="77777777" w:rsidR="00255D5D" w:rsidRPr="005471E8" w:rsidRDefault="00255D5D" w:rsidP="00255D5D">
          <w:pPr>
            <w:jc w:val="center"/>
            <w:rPr>
              <w:rFonts w:ascii="Arial" w:hAnsi="Arial" w:cs="Arial"/>
              <w:b/>
              <w:lang w:val="es-ES"/>
            </w:rPr>
          </w:pPr>
        </w:p>
        <w:p w14:paraId="674F26C4" w14:textId="77777777" w:rsidR="00255D5D" w:rsidRPr="005471E8" w:rsidRDefault="00255D5D" w:rsidP="00255D5D">
          <w:pPr>
            <w:jc w:val="center"/>
            <w:rPr>
              <w:rFonts w:ascii="Arial" w:hAnsi="Arial" w:cs="Arial"/>
              <w:b/>
              <w:lang w:val="es-ES"/>
            </w:rPr>
          </w:pPr>
        </w:p>
        <w:p w14:paraId="628F2E74" w14:textId="77777777" w:rsidR="00255D5D" w:rsidRPr="005471E8" w:rsidRDefault="00255D5D" w:rsidP="00255D5D">
          <w:pPr>
            <w:jc w:val="center"/>
            <w:rPr>
              <w:rFonts w:ascii="Arial" w:hAnsi="Arial" w:cs="Arial"/>
              <w:b/>
              <w:lang w:val="es-ES"/>
            </w:rPr>
          </w:pPr>
        </w:p>
        <w:p w14:paraId="29F5FEA5" w14:textId="77777777" w:rsidR="00255D5D" w:rsidRPr="005471E8" w:rsidRDefault="00255D5D" w:rsidP="00255D5D">
          <w:pPr>
            <w:jc w:val="center"/>
            <w:rPr>
              <w:rFonts w:ascii="Arial" w:hAnsi="Arial" w:cs="Arial"/>
              <w:b/>
              <w:lang w:val="es-ES"/>
            </w:rPr>
          </w:pPr>
        </w:p>
        <w:p w14:paraId="5D36C5FF" w14:textId="77777777" w:rsidR="00255D5D" w:rsidRPr="005471E8" w:rsidRDefault="00255D5D" w:rsidP="00255D5D">
          <w:pPr>
            <w:jc w:val="center"/>
            <w:rPr>
              <w:rFonts w:ascii="Arial" w:hAnsi="Arial" w:cs="Arial"/>
              <w:b/>
              <w:lang w:val="es-ES"/>
            </w:rPr>
          </w:pPr>
        </w:p>
        <w:p w14:paraId="1956C179" w14:textId="77777777" w:rsidR="00255D5D" w:rsidRPr="005471E8" w:rsidRDefault="00255D5D" w:rsidP="00255D5D">
          <w:pPr>
            <w:jc w:val="center"/>
            <w:rPr>
              <w:rFonts w:ascii="Arial" w:hAnsi="Arial" w:cs="Arial"/>
              <w:b/>
              <w:lang w:val="es-ES"/>
            </w:rPr>
          </w:pPr>
        </w:p>
        <w:p w14:paraId="3048FFC5" w14:textId="2725F12F" w:rsidR="00255D5D" w:rsidRPr="005471E8" w:rsidRDefault="00255D5D" w:rsidP="00255D5D">
          <w:pPr>
            <w:jc w:val="center"/>
            <w:rPr>
              <w:rFonts w:ascii="Arial" w:hAnsi="Arial" w:cs="Arial"/>
              <w:b/>
              <w:lang w:val="es-ES"/>
            </w:rPr>
          </w:pPr>
          <w:r w:rsidRPr="005471E8">
            <w:rPr>
              <w:rFonts w:ascii="Arial" w:hAnsi="Arial" w:cs="Arial"/>
              <w:b/>
              <w:lang w:val="es-ES"/>
            </w:rPr>
            <w:t>ASESORÍA LEGISLATIVA A</w:t>
          </w:r>
          <w:r>
            <w:rPr>
              <w:rFonts w:ascii="Arial" w:hAnsi="Arial" w:cs="Arial"/>
              <w:b/>
              <w:lang w:val="es-ES"/>
            </w:rPr>
            <w:t>L</w:t>
          </w:r>
          <w:r w:rsidRPr="005471E8">
            <w:rPr>
              <w:rFonts w:ascii="Arial" w:hAnsi="Arial" w:cs="Arial"/>
              <w:b/>
              <w:lang w:val="es-ES"/>
            </w:rPr>
            <w:t xml:space="preserve"> </w:t>
          </w:r>
          <w:r>
            <w:rPr>
              <w:rFonts w:ascii="Arial" w:hAnsi="Arial" w:cs="Arial"/>
              <w:b/>
              <w:lang w:val="es-ES"/>
            </w:rPr>
            <w:t>COMITÉ DE SENADORES EVÓPOLI</w:t>
          </w:r>
        </w:p>
        <w:p w14:paraId="7B8906F9" w14:textId="3E333E76" w:rsidR="00255D5D" w:rsidRPr="005471E8" w:rsidRDefault="00255D5D" w:rsidP="00255D5D">
          <w:pPr>
            <w:jc w:val="center"/>
            <w:rPr>
              <w:rFonts w:ascii="Arial" w:hAnsi="Arial" w:cs="Arial"/>
              <w:b/>
              <w:lang w:val="es-ES"/>
            </w:rPr>
          </w:pPr>
          <w:r w:rsidRPr="005471E8">
            <w:rPr>
              <w:rFonts w:ascii="Arial" w:hAnsi="Arial" w:cs="Arial"/>
              <w:b/>
              <w:lang w:val="es-ES"/>
            </w:rPr>
            <w:t xml:space="preserve">INFORMANTE: </w:t>
          </w:r>
          <w:r>
            <w:rPr>
              <w:rFonts w:ascii="Arial" w:hAnsi="Arial" w:cs="Arial"/>
              <w:b/>
              <w:lang w:val="es-ES"/>
            </w:rPr>
            <w:t>CARLOS MUÑOZ CÁRCAMO</w:t>
          </w:r>
        </w:p>
        <w:p w14:paraId="52DD7990" w14:textId="77777777" w:rsidR="00255D5D" w:rsidRPr="005471E8" w:rsidRDefault="00255D5D" w:rsidP="00255D5D">
          <w:pPr>
            <w:jc w:val="center"/>
            <w:rPr>
              <w:rFonts w:ascii="Arial" w:hAnsi="Arial" w:cs="Arial"/>
              <w:b/>
              <w:lang w:val="es-ES"/>
            </w:rPr>
          </w:pPr>
        </w:p>
        <w:p w14:paraId="158D73F0" w14:textId="77777777" w:rsidR="00255D5D" w:rsidRPr="005471E8" w:rsidRDefault="00255D5D" w:rsidP="00255D5D">
          <w:pPr>
            <w:jc w:val="center"/>
            <w:rPr>
              <w:rFonts w:ascii="Arial" w:hAnsi="Arial" w:cs="Arial"/>
              <w:b/>
              <w:lang w:val="es-ES"/>
            </w:rPr>
          </w:pPr>
        </w:p>
        <w:p w14:paraId="6EA583DE" w14:textId="77777777" w:rsidR="00255D5D" w:rsidRPr="005471E8" w:rsidRDefault="00255D5D" w:rsidP="00255D5D">
          <w:pPr>
            <w:jc w:val="center"/>
            <w:rPr>
              <w:rFonts w:ascii="Arial" w:hAnsi="Arial" w:cs="Arial"/>
              <w:b/>
              <w:lang w:val="es-ES"/>
            </w:rPr>
          </w:pPr>
        </w:p>
        <w:p w14:paraId="5EC0D900" w14:textId="77777777" w:rsidR="00255D5D" w:rsidRPr="005471E8" w:rsidRDefault="00255D5D" w:rsidP="00255D5D">
          <w:pPr>
            <w:jc w:val="center"/>
            <w:rPr>
              <w:rFonts w:ascii="Arial" w:hAnsi="Arial" w:cs="Arial"/>
              <w:b/>
              <w:lang w:val="es-ES"/>
            </w:rPr>
          </w:pPr>
        </w:p>
        <w:p w14:paraId="2751D0DC" w14:textId="77777777" w:rsidR="00255D5D" w:rsidRPr="005471E8" w:rsidRDefault="00255D5D" w:rsidP="00255D5D">
          <w:pPr>
            <w:jc w:val="center"/>
            <w:rPr>
              <w:rFonts w:ascii="Arial" w:hAnsi="Arial" w:cs="Arial"/>
              <w:b/>
              <w:lang w:val="es-ES"/>
            </w:rPr>
          </w:pPr>
        </w:p>
        <w:p w14:paraId="08C64511" w14:textId="77777777" w:rsidR="00255D5D" w:rsidRPr="005471E8" w:rsidRDefault="00255D5D" w:rsidP="00255D5D">
          <w:pPr>
            <w:jc w:val="center"/>
            <w:rPr>
              <w:rFonts w:ascii="Arial" w:hAnsi="Arial" w:cs="Arial"/>
              <w:b/>
              <w:lang w:val="es-ES"/>
            </w:rPr>
          </w:pPr>
        </w:p>
        <w:p w14:paraId="3954590B" w14:textId="77777777" w:rsidR="00255D5D" w:rsidRPr="005471E8" w:rsidRDefault="00255D5D" w:rsidP="00255D5D">
          <w:pPr>
            <w:jc w:val="center"/>
            <w:rPr>
              <w:rFonts w:ascii="Arial" w:hAnsi="Arial" w:cs="Arial"/>
              <w:b/>
              <w:lang w:val="es-ES"/>
            </w:rPr>
          </w:pPr>
        </w:p>
        <w:p w14:paraId="73E8D9DA" w14:textId="77777777" w:rsidR="00255D5D" w:rsidRPr="005471E8" w:rsidRDefault="00255D5D" w:rsidP="00255D5D">
          <w:pPr>
            <w:jc w:val="center"/>
            <w:rPr>
              <w:rFonts w:ascii="Arial" w:hAnsi="Arial" w:cs="Arial"/>
              <w:b/>
              <w:lang w:val="es-ES"/>
            </w:rPr>
          </w:pPr>
        </w:p>
        <w:p w14:paraId="46FA7EC0" w14:textId="77777777" w:rsidR="00255D5D" w:rsidRPr="005471E8" w:rsidRDefault="00255D5D" w:rsidP="00255D5D">
          <w:pPr>
            <w:jc w:val="center"/>
            <w:rPr>
              <w:rFonts w:ascii="Arial" w:hAnsi="Arial" w:cs="Arial"/>
              <w:b/>
              <w:lang w:val="es-ES"/>
            </w:rPr>
          </w:pPr>
        </w:p>
        <w:p w14:paraId="12DD5DA6" w14:textId="77777777" w:rsidR="00255D5D" w:rsidRPr="005471E8" w:rsidRDefault="00255D5D" w:rsidP="00255D5D">
          <w:pPr>
            <w:jc w:val="center"/>
            <w:rPr>
              <w:rFonts w:ascii="Arial" w:hAnsi="Arial" w:cs="Arial"/>
              <w:b/>
              <w:lang w:val="es-ES"/>
            </w:rPr>
          </w:pPr>
        </w:p>
        <w:p w14:paraId="515E713C" w14:textId="77777777" w:rsidR="00255D5D" w:rsidRPr="005471E8" w:rsidRDefault="00255D5D" w:rsidP="00255D5D">
          <w:pPr>
            <w:jc w:val="center"/>
            <w:rPr>
              <w:rFonts w:ascii="Arial" w:hAnsi="Arial" w:cs="Arial"/>
              <w:b/>
              <w:lang w:val="es-ES"/>
            </w:rPr>
          </w:pPr>
        </w:p>
        <w:p w14:paraId="2F2AF306" w14:textId="77777777" w:rsidR="00255D5D" w:rsidRPr="005471E8" w:rsidRDefault="00255D5D" w:rsidP="00255D5D">
          <w:pPr>
            <w:jc w:val="center"/>
            <w:rPr>
              <w:rFonts w:ascii="Arial" w:hAnsi="Arial" w:cs="Arial"/>
              <w:b/>
              <w:lang w:val="es-ES"/>
            </w:rPr>
          </w:pPr>
        </w:p>
        <w:p w14:paraId="1DB9FA0F" w14:textId="77777777" w:rsidR="00255D5D" w:rsidRPr="005471E8" w:rsidRDefault="00255D5D" w:rsidP="00255D5D">
          <w:pPr>
            <w:jc w:val="center"/>
            <w:rPr>
              <w:rFonts w:ascii="Arial" w:hAnsi="Arial" w:cs="Arial"/>
              <w:b/>
              <w:lang w:val="es-ES"/>
            </w:rPr>
          </w:pPr>
        </w:p>
        <w:p w14:paraId="02BAD2DE" w14:textId="542D4B99" w:rsidR="00255D5D" w:rsidRPr="005471E8" w:rsidRDefault="00255D5D" w:rsidP="00255D5D">
          <w:pPr>
            <w:jc w:val="center"/>
            <w:rPr>
              <w:rFonts w:ascii="Arial" w:hAnsi="Arial" w:cs="Arial"/>
              <w:b/>
              <w:lang w:val="es-ES"/>
            </w:rPr>
          </w:pPr>
          <w:r w:rsidRPr="005471E8">
            <w:rPr>
              <w:rFonts w:ascii="Arial" w:hAnsi="Arial" w:cs="Arial"/>
              <w:b/>
              <w:lang w:val="es-ES"/>
            </w:rPr>
            <w:t>JU</w:t>
          </w:r>
          <w:r w:rsidR="005D56ED">
            <w:rPr>
              <w:rFonts w:ascii="Arial" w:hAnsi="Arial" w:cs="Arial"/>
              <w:b/>
              <w:lang w:val="es-ES"/>
            </w:rPr>
            <w:t>L</w:t>
          </w:r>
          <w:r w:rsidRPr="005471E8">
            <w:rPr>
              <w:rFonts w:ascii="Arial" w:hAnsi="Arial" w:cs="Arial"/>
              <w:b/>
              <w:lang w:val="es-ES"/>
            </w:rPr>
            <w:t>IO 2018</w:t>
          </w:r>
        </w:p>
        <w:p w14:paraId="543831B7" w14:textId="77777777" w:rsidR="00255D5D" w:rsidRPr="005471E8" w:rsidRDefault="00255D5D" w:rsidP="00255D5D">
          <w:pPr>
            <w:jc w:val="both"/>
          </w:pPr>
        </w:p>
        <w:p w14:paraId="0AD813A0" w14:textId="77777777" w:rsidR="00255D5D" w:rsidRPr="005471E8" w:rsidRDefault="00255D5D" w:rsidP="00255D5D">
          <w:pPr>
            <w:jc w:val="both"/>
          </w:pPr>
        </w:p>
        <w:p w14:paraId="48078054" w14:textId="5AE06DC0" w:rsidR="00255D5D" w:rsidRDefault="00255D5D">
          <w:pPr>
            <w:rPr>
              <w:sz w:val="12"/>
            </w:rPr>
          </w:pPr>
          <w:r>
            <w:rPr>
              <w:sz w:val="12"/>
            </w:rPr>
            <w:br w:type="page"/>
          </w:r>
        </w:p>
        <w:p w14:paraId="6EDF3D28" w14:textId="77777777" w:rsidR="00E514FF" w:rsidRPr="00DE1EF4" w:rsidRDefault="00E514FF">
          <w:pPr>
            <w:rPr>
              <w:rFonts w:ascii="Palatino Linotype" w:hAnsi="Palatino Linotype"/>
              <w:sz w:val="12"/>
            </w:rPr>
          </w:pPr>
        </w:p>
        <w:p w14:paraId="62D30149" w14:textId="1D54C556" w:rsidR="00E514FF" w:rsidRPr="00DE1EF4" w:rsidRDefault="005D3EE9">
          <w:pPr>
            <w:pBdr>
              <w:left w:val="single" w:sz="24" w:space="4" w:color="8DB3E2" w:themeColor="text2" w:themeTint="66"/>
              <w:bottom w:val="single" w:sz="8" w:space="6" w:color="365F91" w:themeColor="accent1" w:themeShade="BF"/>
            </w:pBdr>
            <w:spacing w:after="60"/>
            <w:rPr>
              <w:rFonts w:ascii="Palatino Linotype" w:eastAsiaTheme="majorEastAsia" w:hAnsi="Palatino Linotype" w:cstheme="majorBidi"/>
              <w:b/>
              <w:sz w:val="48"/>
              <w:szCs w:val="48"/>
            </w:rPr>
          </w:pPr>
          <w:sdt>
            <w:sdtPr>
              <w:rPr>
                <w:rFonts w:ascii="Palatino Linotype" w:eastAsiaTheme="majorEastAsia" w:hAnsi="Palatino Linotype" w:cstheme="majorBidi"/>
                <w:b/>
                <w:sz w:val="48"/>
                <w:szCs w:val="48"/>
              </w:rPr>
              <w:alias w:val="Título"/>
              <w:tag w:val=""/>
              <w:id w:val="1786233606"/>
              <w:dataBinding w:prefixMappings="xmlns:ns0='http://purl.org/dc/elements/1.1/' xmlns:ns1='http://schemas.openxmlformats.org/package/2006/metadata/core-properties' " w:xpath="/ns1:coreProperties[1]/ns0:title[1]" w:storeItemID="{6C3C8BC8-F283-45AE-878A-BAB7291924A1}"/>
              <w:text/>
            </w:sdtPr>
            <w:sdtContent>
              <w:r>
                <w:rPr>
                  <w:rFonts w:ascii="Palatino Linotype" w:eastAsiaTheme="majorEastAsia" w:hAnsi="Palatino Linotype" w:cstheme="majorBidi"/>
                  <w:b/>
                  <w:sz w:val="48"/>
                  <w:szCs w:val="48"/>
                  <w:lang w:val="es-CL"/>
                </w:rPr>
                <w:t>Financiamiento a la Educación S</w:t>
              </w:r>
              <w:r w:rsidR="009A2978">
                <w:rPr>
                  <w:rFonts w:ascii="Palatino Linotype" w:eastAsiaTheme="majorEastAsia" w:hAnsi="Palatino Linotype" w:cstheme="majorBidi"/>
                  <w:b/>
                  <w:sz w:val="48"/>
                  <w:szCs w:val="48"/>
                  <w:lang w:val="es-CL"/>
                </w:rPr>
                <w:t>uperior</w:t>
              </w:r>
            </w:sdtContent>
          </w:sdt>
        </w:p>
        <w:sdt>
          <w:sdtPr>
            <w:rPr>
              <w:rFonts w:ascii="Palatino Linotype" w:hAnsi="Palatino Linotype"/>
              <w:noProof/>
              <w:sz w:val="36"/>
              <w:szCs w:val="32"/>
            </w:rPr>
            <w:alias w:val="Subtítulo"/>
            <w:tag w:val="Subtítulo"/>
            <w:id w:val="30555238"/>
            <w:text/>
          </w:sdtPr>
          <w:sdtContent>
            <w:p w14:paraId="53E54780" w14:textId="18D76C61" w:rsidR="00E514FF" w:rsidRPr="00DE1EF4" w:rsidRDefault="00A67DC0">
              <w:pPr>
                <w:pBdr>
                  <w:left w:val="single" w:sz="24" w:space="4" w:color="8DB3E2" w:themeColor="text2" w:themeTint="66"/>
                  <w:bottom w:val="single" w:sz="8" w:space="6" w:color="365F91" w:themeColor="accent1" w:themeShade="BF"/>
                </w:pBdr>
                <w:contextualSpacing/>
                <w:rPr>
                  <w:rFonts w:ascii="Palatino Linotype" w:hAnsi="Palatino Linotype"/>
                  <w:noProof/>
                  <w:sz w:val="36"/>
                  <w:szCs w:val="32"/>
                </w:rPr>
              </w:pPr>
              <w:r>
                <w:rPr>
                  <w:rFonts w:ascii="Palatino Linotype" w:hAnsi="Palatino Linotype"/>
                  <w:noProof/>
                  <w:sz w:val="36"/>
                  <w:szCs w:val="32"/>
                </w:rPr>
                <w:t>Enfoque</w:t>
              </w:r>
              <w:r w:rsidR="00F51C4B">
                <w:rPr>
                  <w:rFonts w:ascii="Palatino Linotype" w:hAnsi="Palatino Linotype"/>
                  <w:noProof/>
                  <w:sz w:val="36"/>
                  <w:szCs w:val="32"/>
                </w:rPr>
                <w:t xml:space="preserve"> en los créditos universitarios</w:t>
              </w:r>
            </w:p>
          </w:sdtContent>
        </w:sdt>
        <w:p w14:paraId="1DF4EE9E" w14:textId="2B84102D" w:rsidR="00E514FF" w:rsidRPr="00DE1EF4" w:rsidRDefault="005D3EE9">
          <w:pPr>
            <w:pBdr>
              <w:left w:val="single" w:sz="24" w:space="4" w:color="D99594" w:themeColor="accent2" w:themeTint="99"/>
            </w:pBdr>
            <w:spacing w:before="120" w:after="120"/>
            <w:rPr>
              <w:rFonts w:ascii="Palatino Linotype" w:hAnsi="Palatino Linotype"/>
              <w:noProof/>
              <w:color w:val="000000" w:themeColor="text1"/>
              <w:sz w:val="28"/>
            </w:rPr>
          </w:pPr>
          <w:sdt>
            <w:sdtPr>
              <w:rPr>
                <w:rFonts w:ascii="Palatino Linotype" w:hAnsi="Palatino Linotype"/>
                <w:noProof/>
                <w:color w:val="000000" w:themeColor="text1"/>
                <w:sz w:val="28"/>
              </w:rPr>
              <w:alias w:val="Autor"/>
              <w:id w:val="30555239"/>
              <w:dataBinding w:prefixMappings="xmlns:ns0='http://purl.org/dc/elements/1.1/' xmlns:ns1='http://schemas.openxmlformats.org/package/2006/metadata/core-properties' " w:xpath="/ns1:coreProperties[1]/ns0:creator[1]" w:storeItemID="{6C3C8BC8-F283-45AE-878A-BAB7291924A1}"/>
              <w:text/>
            </w:sdtPr>
            <w:sdtContent>
              <w:r w:rsidR="008A41FD">
                <w:rPr>
                  <w:rFonts w:ascii="Palatino Linotype" w:hAnsi="Palatino Linotype"/>
                  <w:noProof/>
                  <w:color w:val="000000" w:themeColor="text1"/>
                  <w:sz w:val="28"/>
                  <w:lang w:val="es-CL"/>
                </w:rPr>
                <w:t xml:space="preserve">Carlos Muñoz Cárcamo – Congreso Nacional de Chile – Asesoría para </w:t>
              </w:r>
              <w:r w:rsidR="009A2978">
                <w:rPr>
                  <w:rFonts w:ascii="Palatino Linotype" w:hAnsi="Palatino Linotype"/>
                  <w:noProof/>
                  <w:color w:val="000000" w:themeColor="text1"/>
                  <w:sz w:val="28"/>
                  <w:lang w:val="es-CL"/>
                </w:rPr>
                <w:t>Comité Político de Ev</w:t>
              </w:r>
              <w:r w:rsidR="00AE18CD">
                <w:rPr>
                  <w:rFonts w:ascii="Palatino Linotype" w:hAnsi="Palatino Linotype"/>
                  <w:noProof/>
                  <w:color w:val="000000" w:themeColor="text1"/>
                  <w:sz w:val="28"/>
                  <w:lang w:val="es-CL"/>
                </w:rPr>
                <w:t>ó</w:t>
              </w:r>
              <w:r w:rsidR="009A2978">
                <w:rPr>
                  <w:rFonts w:ascii="Palatino Linotype" w:hAnsi="Palatino Linotype"/>
                  <w:noProof/>
                  <w:color w:val="000000" w:themeColor="text1"/>
                  <w:sz w:val="28"/>
                  <w:lang w:val="es-CL"/>
                </w:rPr>
                <w:t>poli – Jul</w:t>
              </w:r>
              <w:r w:rsidR="008A41FD">
                <w:rPr>
                  <w:rFonts w:ascii="Palatino Linotype" w:hAnsi="Palatino Linotype"/>
                  <w:noProof/>
                  <w:color w:val="000000" w:themeColor="text1"/>
                  <w:sz w:val="28"/>
                  <w:lang w:val="es-CL"/>
                </w:rPr>
                <w:t>io de 2018</w:t>
              </w:r>
            </w:sdtContent>
          </w:sdt>
        </w:p>
        <w:p w14:paraId="5872D334" w14:textId="77777777" w:rsidR="00E514FF" w:rsidRPr="00DE1EF4" w:rsidRDefault="00E514FF">
          <w:pPr>
            <w:spacing w:before="4400" w:after="120"/>
            <w:rPr>
              <w:rFonts w:ascii="Palatino Linotype" w:hAnsi="Palatino Linotype"/>
              <w:b/>
              <w:caps/>
              <w:sz w:val="28"/>
              <w:szCs w:val="20"/>
            </w:rPr>
          </w:pPr>
          <w:r w:rsidRPr="00DE1EF4">
            <w:rPr>
              <w:rFonts w:ascii="Palatino Linotype" w:hAnsi="Palatino Linotype"/>
              <w:b/>
              <w:caps/>
              <w:sz w:val="28"/>
              <w:szCs w:val="20"/>
              <w:lang w:val="es-ES"/>
            </w:rPr>
            <w:t>Extracto</w:t>
          </w:r>
        </w:p>
        <w:sdt>
          <w:sdtPr>
            <w:rPr>
              <w:rFonts w:ascii="Palatino Linotype" w:hAnsi="Palatino Linotype"/>
              <w:sz w:val="28"/>
            </w:rPr>
            <w:alias w:val="Extracto"/>
            <w:id w:val="1556273158"/>
            <w:dataBinding w:prefixMappings="xmlns:ns0='http://schemas.microsoft.com/office/2006/coverPageProps' " w:xpath="/ns0:CoverPageProperties[1]/ns0:Abstract[1]" w:storeItemID="{55AF091B-3C7A-41E3-B477-F2FDAA23CFDA}"/>
            <w:text/>
          </w:sdtPr>
          <w:sdtEndPr>
            <w:rPr>
              <w:rFonts w:asciiTheme="majorHAnsi" w:hAnsiTheme="majorHAnsi"/>
            </w:rPr>
          </w:sdtEndPr>
          <w:sdtContent>
            <w:p w14:paraId="481D4762" w14:textId="2CC43B45" w:rsidR="00E514FF" w:rsidRPr="00C605A1" w:rsidRDefault="008A41FD" w:rsidP="00AB332B">
              <w:pPr>
                <w:pBdr>
                  <w:left w:val="single" w:sz="24" w:space="4" w:color="8DB3E2" w:themeColor="text2" w:themeTint="66"/>
                </w:pBdr>
                <w:contextualSpacing/>
                <w:jc w:val="both"/>
                <w:rPr>
                  <w:rFonts w:asciiTheme="majorHAnsi" w:hAnsiTheme="majorHAnsi"/>
                  <w:sz w:val="28"/>
                </w:rPr>
              </w:pPr>
              <w:r w:rsidRPr="00C605A1">
                <w:rPr>
                  <w:rFonts w:ascii="Palatino Linotype" w:hAnsi="Palatino Linotype"/>
                  <w:sz w:val="28"/>
                  <w:lang w:val="es-CL"/>
                </w:rPr>
                <w:t xml:space="preserve">El presente documento </w:t>
              </w:r>
              <w:r w:rsidR="00C605A1" w:rsidRPr="00C605A1">
                <w:rPr>
                  <w:rFonts w:ascii="Palatino Linotype" w:hAnsi="Palatino Linotype"/>
                  <w:sz w:val="28"/>
                  <w:lang w:val="es-CL"/>
                </w:rPr>
                <w:t>realiza un análisis económico del sistema de financiamiento a la educación superior, enfocándose en la nueva reforma propuesta por el Ej</w:t>
              </w:r>
              <w:r w:rsidR="00C16A14">
                <w:rPr>
                  <w:rFonts w:ascii="Palatino Linotype" w:hAnsi="Palatino Linotype"/>
                  <w:sz w:val="28"/>
                  <w:lang w:val="es-CL"/>
                </w:rPr>
                <w:t>ecutivo, que busca reemplazar</w:t>
              </w:r>
              <w:r w:rsidR="00C605A1" w:rsidRPr="00C605A1">
                <w:rPr>
                  <w:rFonts w:ascii="Palatino Linotype" w:hAnsi="Palatino Linotype"/>
                  <w:sz w:val="28"/>
                  <w:lang w:val="es-CL"/>
                </w:rPr>
                <w:t xml:space="preserve"> los créditos existentes por un nuevo crédito contingente al ingreso. Así, la sección I hace una revisión del marco regulatorio actual y de la propuesta del gobierno: la sección II presenta la teoría económica respecto a los créditos contingentes al ingreso, así como evidencia empírica que la respalda. Por último, la sección III presenta las indicaciones finales.</w:t>
              </w:r>
            </w:p>
          </w:sdtContent>
        </w:sdt>
        <w:p w14:paraId="26485E1C" w14:textId="77777777" w:rsidR="00E514FF" w:rsidRDefault="00E514FF"/>
        <w:p w14:paraId="0186859C" w14:textId="775B62DE" w:rsidR="00382107" w:rsidRPr="00E514FF" w:rsidRDefault="00E514FF" w:rsidP="00E514FF">
          <w:pPr>
            <w:rPr>
              <w:rFonts w:ascii="Palatino Linotype" w:hAnsi="Palatino Linotype"/>
              <w:b/>
              <w:sz w:val="40"/>
              <w:szCs w:val="40"/>
              <w:u w:val="single"/>
            </w:rPr>
          </w:pPr>
          <w:r>
            <w:rPr>
              <w:rFonts w:ascii="Palatino Linotype" w:hAnsi="Palatino Linotype"/>
              <w:b/>
              <w:sz w:val="40"/>
              <w:szCs w:val="40"/>
              <w:u w:val="single"/>
            </w:rPr>
            <w:br w:type="page"/>
          </w:r>
        </w:p>
      </w:sdtContent>
    </w:sdt>
    <w:sdt>
      <w:sdtPr>
        <w:rPr>
          <w:rFonts w:asciiTheme="minorHAnsi" w:eastAsiaTheme="minorEastAsia" w:hAnsiTheme="minorHAnsi" w:cstheme="minorBidi"/>
          <w:b w:val="0"/>
          <w:bCs w:val="0"/>
          <w:color w:val="auto"/>
          <w:sz w:val="24"/>
          <w:szCs w:val="24"/>
          <w:lang w:val="es-ES"/>
        </w:rPr>
        <w:id w:val="1017959004"/>
        <w:docPartObj>
          <w:docPartGallery w:val="Table of Contents"/>
          <w:docPartUnique/>
        </w:docPartObj>
      </w:sdtPr>
      <w:sdtEndPr>
        <w:rPr>
          <w:noProof/>
          <w:lang w:val="es-ES_tradnl"/>
        </w:rPr>
      </w:sdtEndPr>
      <w:sdtContent>
        <w:p w14:paraId="20C0714A" w14:textId="77777777" w:rsidR="00382107" w:rsidRPr="00C605A1" w:rsidRDefault="00382107">
          <w:pPr>
            <w:pStyle w:val="TtulodeTDC"/>
            <w:rPr>
              <w:rStyle w:val="Ttulodellibro"/>
              <w:rFonts w:ascii="Palatino Linotype" w:hAnsi="Palatino Linotype"/>
              <w:b/>
              <w:color w:val="auto"/>
            </w:rPr>
          </w:pPr>
          <w:r w:rsidRPr="00C605A1">
            <w:rPr>
              <w:rStyle w:val="Ttulodellibro"/>
              <w:rFonts w:ascii="Palatino Linotype" w:hAnsi="Palatino Linotype"/>
              <w:b/>
              <w:color w:val="auto"/>
            </w:rPr>
            <w:t>Tabla de contenido</w:t>
          </w:r>
        </w:p>
        <w:p w14:paraId="0CB2A28A" w14:textId="77777777" w:rsidR="000F35C1" w:rsidRDefault="00B05E92">
          <w:pPr>
            <w:pStyle w:val="TDC2"/>
            <w:tabs>
              <w:tab w:val="right" w:leader="dot" w:pos="8828"/>
            </w:tabs>
            <w:rPr>
              <w:b w:val="0"/>
              <w:noProof/>
              <w:sz w:val="24"/>
              <w:szCs w:val="24"/>
              <w:lang w:val="es-CL" w:eastAsia="ja-JP"/>
            </w:rPr>
          </w:pPr>
          <w:r w:rsidRPr="00C605A1">
            <w:rPr>
              <w:rFonts w:ascii="Palatino Linotype" w:hAnsi="Palatino Linotype"/>
              <w:b w:val="0"/>
            </w:rPr>
            <w:fldChar w:fldCharType="begin"/>
          </w:r>
          <w:r w:rsidRPr="00C605A1">
            <w:rPr>
              <w:rFonts w:ascii="Palatino Linotype" w:hAnsi="Palatino Linotype"/>
              <w:b w:val="0"/>
            </w:rPr>
            <w:instrText xml:space="preserve"> TOC \o "1-3" </w:instrText>
          </w:r>
          <w:r w:rsidRPr="00C605A1">
            <w:rPr>
              <w:rFonts w:ascii="Palatino Linotype" w:hAnsi="Palatino Linotype"/>
              <w:b w:val="0"/>
            </w:rPr>
            <w:fldChar w:fldCharType="separate"/>
          </w:r>
          <w:r w:rsidR="000F35C1" w:rsidRPr="006D6703">
            <w:rPr>
              <w:rFonts w:ascii="Palatino Linotype" w:hAnsi="Palatino Linotype"/>
              <w:b w:val="0"/>
              <w:noProof/>
            </w:rPr>
            <w:t>Glosario</w:t>
          </w:r>
          <w:r w:rsidR="000F35C1">
            <w:rPr>
              <w:noProof/>
            </w:rPr>
            <w:tab/>
          </w:r>
          <w:r w:rsidR="000F35C1">
            <w:rPr>
              <w:noProof/>
            </w:rPr>
            <w:fldChar w:fldCharType="begin"/>
          </w:r>
          <w:r w:rsidR="000F35C1">
            <w:rPr>
              <w:noProof/>
            </w:rPr>
            <w:instrText xml:space="preserve"> PAGEREF _Toc391553437 \h </w:instrText>
          </w:r>
          <w:r w:rsidR="000F35C1">
            <w:rPr>
              <w:noProof/>
            </w:rPr>
          </w:r>
          <w:r w:rsidR="000F35C1">
            <w:rPr>
              <w:noProof/>
            </w:rPr>
            <w:fldChar w:fldCharType="separate"/>
          </w:r>
          <w:r w:rsidR="001C67EA">
            <w:rPr>
              <w:noProof/>
            </w:rPr>
            <w:t>5</w:t>
          </w:r>
          <w:r w:rsidR="000F35C1">
            <w:rPr>
              <w:noProof/>
            </w:rPr>
            <w:fldChar w:fldCharType="end"/>
          </w:r>
        </w:p>
        <w:p w14:paraId="3C123BAF" w14:textId="77777777" w:rsidR="000F35C1" w:rsidRDefault="000F35C1">
          <w:pPr>
            <w:pStyle w:val="TDC1"/>
            <w:tabs>
              <w:tab w:val="right" w:leader="dot" w:pos="8828"/>
            </w:tabs>
            <w:rPr>
              <w:b w:val="0"/>
              <w:noProof/>
              <w:lang w:val="es-CL" w:eastAsia="ja-JP"/>
            </w:rPr>
          </w:pPr>
          <w:r w:rsidRPr="006D6703">
            <w:rPr>
              <w:rFonts w:ascii="Palatino Linotype" w:hAnsi="Palatino Linotype"/>
              <w:b w:val="0"/>
              <w:noProof/>
            </w:rPr>
            <w:t>Sección I: Financiamiento a instituciones de educación superior: contexto regulatorio y situación actual</w:t>
          </w:r>
          <w:r>
            <w:rPr>
              <w:noProof/>
            </w:rPr>
            <w:tab/>
          </w:r>
          <w:r>
            <w:rPr>
              <w:noProof/>
            </w:rPr>
            <w:fldChar w:fldCharType="begin"/>
          </w:r>
          <w:r>
            <w:rPr>
              <w:noProof/>
            </w:rPr>
            <w:instrText xml:space="preserve"> PAGEREF _Toc391553438 \h </w:instrText>
          </w:r>
          <w:r>
            <w:rPr>
              <w:noProof/>
            </w:rPr>
          </w:r>
          <w:r>
            <w:rPr>
              <w:noProof/>
            </w:rPr>
            <w:fldChar w:fldCharType="separate"/>
          </w:r>
          <w:r w:rsidR="001C67EA">
            <w:rPr>
              <w:noProof/>
            </w:rPr>
            <w:t>6</w:t>
          </w:r>
          <w:r>
            <w:rPr>
              <w:noProof/>
            </w:rPr>
            <w:fldChar w:fldCharType="end"/>
          </w:r>
        </w:p>
        <w:p w14:paraId="22888137"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A) Marco regulatorio</w:t>
          </w:r>
          <w:r>
            <w:rPr>
              <w:noProof/>
            </w:rPr>
            <w:tab/>
          </w:r>
          <w:r>
            <w:rPr>
              <w:noProof/>
            </w:rPr>
            <w:fldChar w:fldCharType="begin"/>
          </w:r>
          <w:r>
            <w:rPr>
              <w:noProof/>
            </w:rPr>
            <w:instrText xml:space="preserve"> PAGEREF _Toc391553439 \h </w:instrText>
          </w:r>
          <w:r>
            <w:rPr>
              <w:noProof/>
            </w:rPr>
          </w:r>
          <w:r>
            <w:rPr>
              <w:noProof/>
            </w:rPr>
            <w:fldChar w:fldCharType="separate"/>
          </w:r>
          <w:r w:rsidR="001C67EA">
            <w:rPr>
              <w:noProof/>
            </w:rPr>
            <w:t>6</w:t>
          </w:r>
          <w:r>
            <w:rPr>
              <w:noProof/>
            </w:rPr>
            <w:fldChar w:fldCharType="end"/>
          </w:r>
        </w:p>
        <w:p w14:paraId="69D1F03F"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 Financiamiento que otorga el Estado a las instituciones de educación superior</w:t>
          </w:r>
          <w:r>
            <w:rPr>
              <w:noProof/>
            </w:rPr>
            <w:tab/>
          </w:r>
          <w:r>
            <w:rPr>
              <w:noProof/>
            </w:rPr>
            <w:fldChar w:fldCharType="begin"/>
          </w:r>
          <w:r>
            <w:rPr>
              <w:noProof/>
            </w:rPr>
            <w:instrText xml:space="preserve"> PAGEREF _Toc391553440 \h </w:instrText>
          </w:r>
          <w:r>
            <w:rPr>
              <w:noProof/>
            </w:rPr>
          </w:r>
          <w:r>
            <w:rPr>
              <w:noProof/>
            </w:rPr>
            <w:fldChar w:fldCharType="separate"/>
          </w:r>
          <w:r w:rsidR="001C67EA">
            <w:rPr>
              <w:noProof/>
            </w:rPr>
            <w:t>6</w:t>
          </w:r>
          <w:r>
            <w:rPr>
              <w:noProof/>
            </w:rPr>
            <w:fldChar w:fldCharType="end"/>
          </w:r>
        </w:p>
        <w:p w14:paraId="35FA95DA"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 Demanda por financiamiento: estudiantes</w:t>
          </w:r>
          <w:r>
            <w:rPr>
              <w:noProof/>
            </w:rPr>
            <w:tab/>
          </w:r>
          <w:r>
            <w:rPr>
              <w:noProof/>
            </w:rPr>
            <w:fldChar w:fldCharType="begin"/>
          </w:r>
          <w:r>
            <w:rPr>
              <w:noProof/>
            </w:rPr>
            <w:instrText xml:space="preserve"> PAGEREF _Toc391553441 \h </w:instrText>
          </w:r>
          <w:r>
            <w:rPr>
              <w:noProof/>
            </w:rPr>
          </w:r>
          <w:r>
            <w:rPr>
              <w:noProof/>
            </w:rPr>
            <w:fldChar w:fldCharType="separate"/>
          </w:r>
          <w:r w:rsidR="001C67EA">
            <w:rPr>
              <w:noProof/>
            </w:rPr>
            <w:t>7</w:t>
          </w:r>
          <w:r>
            <w:rPr>
              <w:noProof/>
            </w:rPr>
            <w:fldChar w:fldCharType="end"/>
          </w:r>
        </w:p>
        <w:p w14:paraId="6953946D"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B) Datos  sobre financiamiento en la educación superior</w:t>
          </w:r>
          <w:r>
            <w:rPr>
              <w:noProof/>
            </w:rPr>
            <w:tab/>
          </w:r>
          <w:r>
            <w:rPr>
              <w:noProof/>
            </w:rPr>
            <w:fldChar w:fldCharType="begin"/>
          </w:r>
          <w:r>
            <w:rPr>
              <w:noProof/>
            </w:rPr>
            <w:instrText xml:space="preserve"> PAGEREF _Toc391553442 \h </w:instrText>
          </w:r>
          <w:r>
            <w:rPr>
              <w:noProof/>
            </w:rPr>
          </w:r>
          <w:r>
            <w:rPr>
              <w:noProof/>
            </w:rPr>
            <w:fldChar w:fldCharType="separate"/>
          </w:r>
          <w:r w:rsidR="001C67EA">
            <w:rPr>
              <w:noProof/>
            </w:rPr>
            <w:t>11</w:t>
          </w:r>
          <w:r>
            <w:rPr>
              <w:noProof/>
            </w:rPr>
            <w:fldChar w:fldCharType="end"/>
          </w:r>
        </w:p>
        <w:p w14:paraId="4671F755"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 Datos generales de educación superior en Chile</w:t>
          </w:r>
          <w:r>
            <w:rPr>
              <w:noProof/>
            </w:rPr>
            <w:tab/>
          </w:r>
          <w:r>
            <w:rPr>
              <w:noProof/>
            </w:rPr>
            <w:fldChar w:fldCharType="begin"/>
          </w:r>
          <w:r>
            <w:rPr>
              <w:noProof/>
            </w:rPr>
            <w:instrText xml:space="preserve"> PAGEREF _Toc391553443 \h </w:instrText>
          </w:r>
          <w:r>
            <w:rPr>
              <w:noProof/>
            </w:rPr>
          </w:r>
          <w:r>
            <w:rPr>
              <w:noProof/>
            </w:rPr>
            <w:fldChar w:fldCharType="separate"/>
          </w:r>
          <w:r w:rsidR="001C67EA">
            <w:rPr>
              <w:noProof/>
            </w:rPr>
            <w:t>11</w:t>
          </w:r>
          <w:r>
            <w:rPr>
              <w:noProof/>
            </w:rPr>
            <w:fldChar w:fldCharType="end"/>
          </w:r>
        </w:p>
        <w:p w14:paraId="1D2A5AA3"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 Sistema de créditos: FSCU y CAE</w:t>
          </w:r>
          <w:r>
            <w:rPr>
              <w:noProof/>
            </w:rPr>
            <w:tab/>
          </w:r>
          <w:r>
            <w:rPr>
              <w:noProof/>
            </w:rPr>
            <w:fldChar w:fldCharType="begin"/>
          </w:r>
          <w:r>
            <w:rPr>
              <w:noProof/>
            </w:rPr>
            <w:instrText xml:space="preserve"> PAGEREF _Toc391553444 \h </w:instrText>
          </w:r>
          <w:r>
            <w:rPr>
              <w:noProof/>
            </w:rPr>
          </w:r>
          <w:r>
            <w:rPr>
              <w:noProof/>
            </w:rPr>
            <w:fldChar w:fldCharType="separate"/>
          </w:r>
          <w:r w:rsidR="001C67EA">
            <w:rPr>
              <w:noProof/>
            </w:rPr>
            <w:t>14</w:t>
          </w:r>
          <w:r>
            <w:rPr>
              <w:noProof/>
            </w:rPr>
            <w:fldChar w:fldCharType="end"/>
          </w:r>
        </w:p>
        <w:p w14:paraId="7CE3E21F"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C) Propuesta del gobierno para cambiar el financiamiento en la educación superior</w:t>
          </w:r>
          <w:r>
            <w:rPr>
              <w:noProof/>
            </w:rPr>
            <w:tab/>
          </w:r>
          <w:r>
            <w:rPr>
              <w:noProof/>
            </w:rPr>
            <w:fldChar w:fldCharType="begin"/>
          </w:r>
          <w:r>
            <w:rPr>
              <w:noProof/>
            </w:rPr>
            <w:instrText xml:space="preserve"> PAGEREF _Toc391553445 \h </w:instrText>
          </w:r>
          <w:r>
            <w:rPr>
              <w:noProof/>
            </w:rPr>
          </w:r>
          <w:r>
            <w:rPr>
              <w:noProof/>
            </w:rPr>
            <w:fldChar w:fldCharType="separate"/>
          </w:r>
          <w:r w:rsidR="001C67EA">
            <w:rPr>
              <w:noProof/>
            </w:rPr>
            <w:t>15</w:t>
          </w:r>
          <w:r>
            <w:rPr>
              <w:noProof/>
            </w:rPr>
            <w:fldChar w:fldCharType="end"/>
          </w:r>
        </w:p>
        <w:p w14:paraId="4D66C755"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 Características del crédito</w:t>
          </w:r>
          <w:r>
            <w:rPr>
              <w:noProof/>
            </w:rPr>
            <w:tab/>
          </w:r>
          <w:r>
            <w:rPr>
              <w:noProof/>
            </w:rPr>
            <w:fldChar w:fldCharType="begin"/>
          </w:r>
          <w:r>
            <w:rPr>
              <w:noProof/>
            </w:rPr>
            <w:instrText xml:space="preserve"> PAGEREF _Toc391553446 \h </w:instrText>
          </w:r>
          <w:r>
            <w:rPr>
              <w:noProof/>
            </w:rPr>
          </w:r>
          <w:r>
            <w:rPr>
              <w:noProof/>
            </w:rPr>
            <w:fldChar w:fldCharType="separate"/>
          </w:r>
          <w:r w:rsidR="001C67EA">
            <w:rPr>
              <w:noProof/>
            </w:rPr>
            <w:t>15</w:t>
          </w:r>
          <w:r>
            <w:rPr>
              <w:noProof/>
            </w:rPr>
            <w:fldChar w:fldCharType="end"/>
          </w:r>
        </w:p>
        <w:p w14:paraId="7AF9DC52"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 Mejoras respecto al sistema de créditos actual</w:t>
          </w:r>
          <w:r>
            <w:rPr>
              <w:noProof/>
            </w:rPr>
            <w:tab/>
          </w:r>
          <w:r>
            <w:rPr>
              <w:noProof/>
            </w:rPr>
            <w:fldChar w:fldCharType="begin"/>
          </w:r>
          <w:r>
            <w:rPr>
              <w:noProof/>
            </w:rPr>
            <w:instrText xml:space="preserve"> PAGEREF _Toc391553447 \h </w:instrText>
          </w:r>
          <w:r>
            <w:rPr>
              <w:noProof/>
            </w:rPr>
          </w:r>
          <w:r>
            <w:rPr>
              <w:noProof/>
            </w:rPr>
            <w:fldChar w:fldCharType="separate"/>
          </w:r>
          <w:r w:rsidR="001C67EA">
            <w:rPr>
              <w:noProof/>
            </w:rPr>
            <w:t>16</w:t>
          </w:r>
          <w:r>
            <w:rPr>
              <w:noProof/>
            </w:rPr>
            <w:fldChar w:fldCharType="end"/>
          </w:r>
        </w:p>
        <w:p w14:paraId="5E862AD3" w14:textId="77777777" w:rsidR="000F35C1" w:rsidRDefault="000F35C1">
          <w:pPr>
            <w:pStyle w:val="TDC1"/>
            <w:tabs>
              <w:tab w:val="right" w:leader="dot" w:pos="8828"/>
            </w:tabs>
            <w:rPr>
              <w:b w:val="0"/>
              <w:noProof/>
              <w:lang w:val="es-CL" w:eastAsia="ja-JP"/>
            </w:rPr>
          </w:pPr>
          <w:r w:rsidRPr="006D6703">
            <w:rPr>
              <w:rFonts w:ascii="Palatino Linotype" w:hAnsi="Palatino Linotype"/>
              <w:b w:val="0"/>
              <w:noProof/>
            </w:rPr>
            <w:t>Sección II: Argumentación económica y evidencia empírica</w:t>
          </w:r>
          <w:r>
            <w:rPr>
              <w:noProof/>
            </w:rPr>
            <w:tab/>
          </w:r>
          <w:r>
            <w:rPr>
              <w:noProof/>
            </w:rPr>
            <w:fldChar w:fldCharType="begin"/>
          </w:r>
          <w:r>
            <w:rPr>
              <w:noProof/>
            </w:rPr>
            <w:instrText xml:space="preserve"> PAGEREF _Toc391553448 \h </w:instrText>
          </w:r>
          <w:r>
            <w:rPr>
              <w:noProof/>
            </w:rPr>
          </w:r>
          <w:r>
            <w:rPr>
              <w:noProof/>
            </w:rPr>
            <w:fldChar w:fldCharType="separate"/>
          </w:r>
          <w:r w:rsidR="001C67EA">
            <w:rPr>
              <w:noProof/>
            </w:rPr>
            <w:t>19</w:t>
          </w:r>
          <w:r>
            <w:rPr>
              <w:noProof/>
            </w:rPr>
            <w:fldChar w:fldCharType="end"/>
          </w:r>
        </w:p>
        <w:p w14:paraId="5C25D65D"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A) Argumentación económica de los créditos contingentes al ingreso</w:t>
          </w:r>
          <w:r>
            <w:rPr>
              <w:noProof/>
            </w:rPr>
            <w:tab/>
          </w:r>
          <w:r>
            <w:rPr>
              <w:noProof/>
            </w:rPr>
            <w:fldChar w:fldCharType="begin"/>
          </w:r>
          <w:r>
            <w:rPr>
              <w:noProof/>
            </w:rPr>
            <w:instrText xml:space="preserve"> PAGEREF _Toc391553449 \h </w:instrText>
          </w:r>
          <w:r>
            <w:rPr>
              <w:noProof/>
            </w:rPr>
          </w:r>
          <w:r>
            <w:rPr>
              <w:noProof/>
            </w:rPr>
            <w:fldChar w:fldCharType="separate"/>
          </w:r>
          <w:r w:rsidR="001C67EA">
            <w:rPr>
              <w:noProof/>
            </w:rPr>
            <w:t>19</w:t>
          </w:r>
          <w:r>
            <w:rPr>
              <w:noProof/>
            </w:rPr>
            <w:fldChar w:fldCharType="end"/>
          </w:r>
        </w:p>
        <w:p w14:paraId="329D9556"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 Proposición 1: ¿Quién debería pagar?</w:t>
          </w:r>
          <w:r>
            <w:rPr>
              <w:noProof/>
            </w:rPr>
            <w:tab/>
          </w:r>
          <w:r>
            <w:rPr>
              <w:noProof/>
            </w:rPr>
            <w:fldChar w:fldCharType="begin"/>
          </w:r>
          <w:r>
            <w:rPr>
              <w:noProof/>
            </w:rPr>
            <w:instrText xml:space="preserve"> PAGEREF _Toc391553450 \h </w:instrText>
          </w:r>
          <w:r>
            <w:rPr>
              <w:noProof/>
            </w:rPr>
          </w:r>
          <w:r>
            <w:rPr>
              <w:noProof/>
            </w:rPr>
            <w:fldChar w:fldCharType="separate"/>
          </w:r>
          <w:r w:rsidR="001C67EA">
            <w:rPr>
              <w:noProof/>
            </w:rPr>
            <w:t>19</w:t>
          </w:r>
          <w:r>
            <w:rPr>
              <w:noProof/>
            </w:rPr>
            <w:fldChar w:fldCharType="end"/>
          </w:r>
        </w:p>
        <w:p w14:paraId="6276DF21"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 Proposición 2: ¿Cómo se debería pagar? Introducción de los Créditos Contingentes al Ingreso (CGI)</w:t>
          </w:r>
          <w:r>
            <w:rPr>
              <w:noProof/>
            </w:rPr>
            <w:tab/>
          </w:r>
          <w:r>
            <w:rPr>
              <w:noProof/>
            </w:rPr>
            <w:fldChar w:fldCharType="begin"/>
          </w:r>
          <w:r>
            <w:rPr>
              <w:noProof/>
            </w:rPr>
            <w:instrText xml:space="preserve"> PAGEREF _Toc391553451 \h </w:instrText>
          </w:r>
          <w:r>
            <w:rPr>
              <w:noProof/>
            </w:rPr>
          </w:r>
          <w:r>
            <w:rPr>
              <w:noProof/>
            </w:rPr>
            <w:fldChar w:fldCharType="separate"/>
          </w:r>
          <w:r w:rsidR="001C67EA">
            <w:rPr>
              <w:noProof/>
            </w:rPr>
            <w:t>19</w:t>
          </w:r>
          <w:r>
            <w:rPr>
              <w:noProof/>
            </w:rPr>
            <w:fldChar w:fldCharType="end"/>
          </w:r>
        </w:p>
        <w:p w14:paraId="055ADB7E"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iii) Proposición 3: ¿Cómo se vela por la calidad en el sistema de educación superior?</w:t>
          </w:r>
          <w:r>
            <w:rPr>
              <w:noProof/>
            </w:rPr>
            <w:tab/>
          </w:r>
          <w:r>
            <w:rPr>
              <w:noProof/>
            </w:rPr>
            <w:fldChar w:fldCharType="begin"/>
          </w:r>
          <w:r>
            <w:rPr>
              <w:noProof/>
            </w:rPr>
            <w:instrText xml:space="preserve"> PAGEREF _Toc391553452 \h </w:instrText>
          </w:r>
          <w:r>
            <w:rPr>
              <w:noProof/>
            </w:rPr>
          </w:r>
          <w:r>
            <w:rPr>
              <w:noProof/>
            </w:rPr>
            <w:fldChar w:fldCharType="separate"/>
          </w:r>
          <w:r w:rsidR="001C67EA">
            <w:rPr>
              <w:noProof/>
            </w:rPr>
            <w:t>20</w:t>
          </w:r>
          <w:r>
            <w:rPr>
              <w:noProof/>
            </w:rPr>
            <w:fldChar w:fldCharType="end"/>
          </w:r>
        </w:p>
        <w:p w14:paraId="09A336D6"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iv) Proposición 4: Importancia del rol del Estado</w:t>
          </w:r>
          <w:r>
            <w:rPr>
              <w:noProof/>
            </w:rPr>
            <w:tab/>
          </w:r>
          <w:r>
            <w:rPr>
              <w:noProof/>
            </w:rPr>
            <w:fldChar w:fldCharType="begin"/>
          </w:r>
          <w:r>
            <w:rPr>
              <w:noProof/>
            </w:rPr>
            <w:instrText xml:space="preserve"> PAGEREF _Toc391553453 \h </w:instrText>
          </w:r>
          <w:r>
            <w:rPr>
              <w:noProof/>
            </w:rPr>
          </w:r>
          <w:r>
            <w:rPr>
              <w:noProof/>
            </w:rPr>
            <w:fldChar w:fldCharType="separate"/>
          </w:r>
          <w:r w:rsidR="001C67EA">
            <w:rPr>
              <w:noProof/>
            </w:rPr>
            <w:t>21</w:t>
          </w:r>
          <w:r>
            <w:rPr>
              <w:noProof/>
            </w:rPr>
            <w:fldChar w:fldCharType="end"/>
          </w:r>
        </w:p>
        <w:p w14:paraId="557B5CD9"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v) Estrategia para un buen sistema de financiamiento en la educación superior</w:t>
          </w:r>
          <w:r>
            <w:rPr>
              <w:noProof/>
            </w:rPr>
            <w:tab/>
          </w:r>
          <w:r>
            <w:rPr>
              <w:noProof/>
            </w:rPr>
            <w:fldChar w:fldCharType="begin"/>
          </w:r>
          <w:r>
            <w:rPr>
              <w:noProof/>
            </w:rPr>
            <w:instrText xml:space="preserve"> PAGEREF _Toc391553454 \h </w:instrText>
          </w:r>
          <w:r>
            <w:rPr>
              <w:noProof/>
            </w:rPr>
          </w:r>
          <w:r>
            <w:rPr>
              <w:noProof/>
            </w:rPr>
            <w:fldChar w:fldCharType="separate"/>
          </w:r>
          <w:r w:rsidR="001C67EA">
            <w:rPr>
              <w:noProof/>
            </w:rPr>
            <w:t>21</w:t>
          </w:r>
          <w:r>
            <w:rPr>
              <w:noProof/>
            </w:rPr>
            <w:fldChar w:fldCharType="end"/>
          </w:r>
        </w:p>
        <w:p w14:paraId="78A5D801"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B) Experiencia comparada</w:t>
          </w:r>
          <w:r>
            <w:rPr>
              <w:noProof/>
            </w:rPr>
            <w:tab/>
          </w:r>
          <w:r>
            <w:rPr>
              <w:noProof/>
            </w:rPr>
            <w:fldChar w:fldCharType="begin"/>
          </w:r>
          <w:r>
            <w:rPr>
              <w:noProof/>
            </w:rPr>
            <w:instrText xml:space="preserve"> PAGEREF _Toc391553455 \h </w:instrText>
          </w:r>
          <w:r>
            <w:rPr>
              <w:noProof/>
            </w:rPr>
          </w:r>
          <w:r>
            <w:rPr>
              <w:noProof/>
            </w:rPr>
            <w:fldChar w:fldCharType="separate"/>
          </w:r>
          <w:r w:rsidR="001C67EA">
            <w:rPr>
              <w:noProof/>
            </w:rPr>
            <w:t>22</w:t>
          </w:r>
          <w:r>
            <w:rPr>
              <w:noProof/>
            </w:rPr>
            <w:fldChar w:fldCharType="end"/>
          </w:r>
        </w:p>
        <w:p w14:paraId="0D5CA324"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 Créditos contingentes al ingreso: Casos de Australia e Inglaterra</w:t>
          </w:r>
          <w:r>
            <w:rPr>
              <w:noProof/>
            </w:rPr>
            <w:tab/>
          </w:r>
          <w:r>
            <w:rPr>
              <w:noProof/>
            </w:rPr>
            <w:fldChar w:fldCharType="begin"/>
          </w:r>
          <w:r>
            <w:rPr>
              <w:noProof/>
            </w:rPr>
            <w:instrText xml:space="preserve"> PAGEREF _Toc391553456 \h </w:instrText>
          </w:r>
          <w:r>
            <w:rPr>
              <w:noProof/>
            </w:rPr>
          </w:r>
          <w:r>
            <w:rPr>
              <w:noProof/>
            </w:rPr>
            <w:fldChar w:fldCharType="separate"/>
          </w:r>
          <w:r w:rsidR="001C67EA">
            <w:rPr>
              <w:noProof/>
            </w:rPr>
            <w:t>22</w:t>
          </w:r>
          <w:r>
            <w:rPr>
              <w:noProof/>
            </w:rPr>
            <w:fldChar w:fldCharType="end"/>
          </w:r>
        </w:p>
        <w:p w14:paraId="35EB4A76" w14:textId="77777777" w:rsidR="000F35C1" w:rsidRDefault="000F35C1">
          <w:pPr>
            <w:pStyle w:val="TDC3"/>
            <w:tabs>
              <w:tab w:val="right" w:leader="dot" w:pos="8828"/>
            </w:tabs>
            <w:rPr>
              <w:noProof/>
              <w:sz w:val="24"/>
              <w:szCs w:val="24"/>
              <w:lang w:val="es-CL" w:eastAsia="ja-JP"/>
            </w:rPr>
          </w:pPr>
          <w:r w:rsidRPr="006D6703">
            <w:rPr>
              <w:rFonts w:ascii="Palatino Linotype" w:hAnsi="Palatino Linotype"/>
              <w:noProof/>
              <w:lang w:val="es-ES"/>
            </w:rPr>
            <w:t>ii) Eficiencia en su cobro</w:t>
          </w:r>
          <w:r>
            <w:rPr>
              <w:noProof/>
            </w:rPr>
            <w:tab/>
          </w:r>
          <w:r>
            <w:rPr>
              <w:noProof/>
            </w:rPr>
            <w:fldChar w:fldCharType="begin"/>
          </w:r>
          <w:r>
            <w:rPr>
              <w:noProof/>
            </w:rPr>
            <w:instrText xml:space="preserve"> PAGEREF _Toc391553457 \h </w:instrText>
          </w:r>
          <w:r>
            <w:rPr>
              <w:noProof/>
            </w:rPr>
          </w:r>
          <w:r>
            <w:rPr>
              <w:noProof/>
            </w:rPr>
            <w:fldChar w:fldCharType="separate"/>
          </w:r>
          <w:r w:rsidR="001C67EA">
            <w:rPr>
              <w:noProof/>
            </w:rPr>
            <w:t>23</w:t>
          </w:r>
          <w:r>
            <w:rPr>
              <w:noProof/>
            </w:rPr>
            <w:fldChar w:fldCharType="end"/>
          </w:r>
        </w:p>
        <w:p w14:paraId="1E94550E"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C) Diseño de un sistema de CCI</w:t>
          </w:r>
          <w:r>
            <w:rPr>
              <w:noProof/>
            </w:rPr>
            <w:tab/>
          </w:r>
          <w:r>
            <w:rPr>
              <w:noProof/>
            </w:rPr>
            <w:fldChar w:fldCharType="begin"/>
          </w:r>
          <w:r>
            <w:rPr>
              <w:noProof/>
            </w:rPr>
            <w:instrText xml:space="preserve"> PAGEREF _Toc391553458 \h </w:instrText>
          </w:r>
          <w:r>
            <w:rPr>
              <w:noProof/>
            </w:rPr>
          </w:r>
          <w:r>
            <w:rPr>
              <w:noProof/>
            </w:rPr>
            <w:fldChar w:fldCharType="separate"/>
          </w:r>
          <w:r w:rsidR="001C67EA">
            <w:rPr>
              <w:noProof/>
            </w:rPr>
            <w:t>24</w:t>
          </w:r>
          <w:r>
            <w:rPr>
              <w:noProof/>
            </w:rPr>
            <w:fldChar w:fldCharType="end"/>
          </w:r>
        </w:p>
        <w:p w14:paraId="3B8FB8CD" w14:textId="77777777" w:rsidR="000F35C1" w:rsidRDefault="000F35C1">
          <w:pPr>
            <w:pStyle w:val="TDC1"/>
            <w:tabs>
              <w:tab w:val="right" w:leader="dot" w:pos="8828"/>
            </w:tabs>
            <w:rPr>
              <w:b w:val="0"/>
              <w:noProof/>
              <w:lang w:val="es-CL" w:eastAsia="ja-JP"/>
            </w:rPr>
          </w:pPr>
          <w:r w:rsidRPr="006D6703">
            <w:rPr>
              <w:rFonts w:ascii="Palatino Linotype" w:hAnsi="Palatino Linotype"/>
              <w:b w:val="0"/>
              <w:noProof/>
            </w:rPr>
            <w:t>Sección III: Indicaciones finales</w:t>
          </w:r>
          <w:r>
            <w:rPr>
              <w:noProof/>
            </w:rPr>
            <w:tab/>
          </w:r>
          <w:r>
            <w:rPr>
              <w:noProof/>
            </w:rPr>
            <w:fldChar w:fldCharType="begin"/>
          </w:r>
          <w:r>
            <w:rPr>
              <w:noProof/>
            </w:rPr>
            <w:instrText xml:space="preserve"> PAGEREF _Toc391553459 \h </w:instrText>
          </w:r>
          <w:r>
            <w:rPr>
              <w:noProof/>
            </w:rPr>
          </w:r>
          <w:r>
            <w:rPr>
              <w:noProof/>
            </w:rPr>
            <w:fldChar w:fldCharType="separate"/>
          </w:r>
          <w:r w:rsidR="001C67EA">
            <w:rPr>
              <w:noProof/>
            </w:rPr>
            <w:t>25</w:t>
          </w:r>
          <w:r>
            <w:rPr>
              <w:noProof/>
            </w:rPr>
            <w:fldChar w:fldCharType="end"/>
          </w:r>
        </w:p>
        <w:p w14:paraId="13B16B97" w14:textId="77777777" w:rsidR="000F35C1" w:rsidRDefault="000F35C1">
          <w:pPr>
            <w:pStyle w:val="TDC2"/>
            <w:tabs>
              <w:tab w:val="right" w:leader="dot" w:pos="8828"/>
            </w:tabs>
            <w:rPr>
              <w:b w:val="0"/>
              <w:noProof/>
              <w:sz w:val="24"/>
              <w:szCs w:val="24"/>
              <w:lang w:val="es-CL" w:eastAsia="ja-JP"/>
            </w:rPr>
          </w:pPr>
          <w:r w:rsidRPr="006D6703">
            <w:rPr>
              <w:rFonts w:ascii="Palatino Linotype" w:hAnsi="Palatino Linotype"/>
              <w:b w:val="0"/>
              <w:noProof/>
            </w:rPr>
            <w:t>A) Evaluación económica del nuevo proyecto de ley</w:t>
          </w:r>
          <w:r>
            <w:rPr>
              <w:noProof/>
            </w:rPr>
            <w:tab/>
          </w:r>
          <w:r>
            <w:rPr>
              <w:noProof/>
            </w:rPr>
            <w:fldChar w:fldCharType="begin"/>
          </w:r>
          <w:r>
            <w:rPr>
              <w:noProof/>
            </w:rPr>
            <w:instrText xml:space="preserve"> PAGEREF _Toc391553460 \h </w:instrText>
          </w:r>
          <w:r>
            <w:rPr>
              <w:noProof/>
            </w:rPr>
          </w:r>
          <w:r>
            <w:rPr>
              <w:noProof/>
            </w:rPr>
            <w:fldChar w:fldCharType="separate"/>
          </w:r>
          <w:r w:rsidR="001C67EA">
            <w:rPr>
              <w:noProof/>
            </w:rPr>
            <w:t>25</w:t>
          </w:r>
          <w:r>
            <w:rPr>
              <w:noProof/>
            </w:rPr>
            <w:fldChar w:fldCharType="end"/>
          </w:r>
        </w:p>
        <w:p w14:paraId="5EA4103B" w14:textId="0083D108" w:rsidR="00382107" w:rsidRPr="003C5FD8" w:rsidRDefault="00B05E92" w:rsidP="003C5FD8">
          <w:r w:rsidRPr="00C605A1">
            <w:rPr>
              <w:rFonts w:ascii="Palatino Linotype" w:hAnsi="Palatino Linotype"/>
              <w:b/>
              <w:sz w:val="22"/>
              <w:szCs w:val="22"/>
            </w:rPr>
            <w:fldChar w:fldCharType="end"/>
          </w:r>
        </w:p>
      </w:sdtContent>
    </w:sdt>
    <w:p w14:paraId="07E87DF6" w14:textId="77777777" w:rsidR="003C5FD8" w:rsidRDefault="003C5FD8" w:rsidP="004D75AF">
      <w:pPr>
        <w:pStyle w:val="Ttulo2"/>
        <w:rPr>
          <w:rFonts w:ascii="Palatino Linotype" w:hAnsi="Palatino Linotype"/>
          <w:b w:val="0"/>
          <w:color w:val="auto"/>
          <w:sz w:val="28"/>
        </w:rPr>
      </w:pPr>
      <w:r>
        <w:rPr>
          <w:rFonts w:ascii="Palatino Linotype" w:hAnsi="Palatino Linotype"/>
          <w:b w:val="0"/>
          <w:color w:val="auto"/>
          <w:sz w:val="28"/>
        </w:rPr>
        <w:br w:type="page"/>
      </w:r>
    </w:p>
    <w:p w14:paraId="22C3CA6E" w14:textId="77777777" w:rsidR="00B05E92" w:rsidRDefault="00B05E92" w:rsidP="004D75AF">
      <w:pPr>
        <w:pStyle w:val="Ttulo2"/>
        <w:rPr>
          <w:rFonts w:ascii="Palatino Linotype" w:hAnsi="Palatino Linotype"/>
          <w:b w:val="0"/>
          <w:color w:val="auto"/>
          <w:sz w:val="28"/>
        </w:rPr>
      </w:pPr>
    </w:p>
    <w:p w14:paraId="0DC748A5" w14:textId="61A21C8D" w:rsidR="00B05E92" w:rsidRPr="00C605A1" w:rsidRDefault="00C605A1">
      <w:pPr>
        <w:pStyle w:val="Tabladeilustraciones"/>
        <w:tabs>
          <w:tab w:val="right" w:leader="dot" w:pos="8828"/>
        </w:tabs>
        <w:rPr>
          <w:rFonts w:ascii="Palatino Linotype" w:hAnsi="Palatino Linotype"/>
          <w:sz w:val="32"/>
        </w:rPr>
      </w:pPr>
      <w:r w:rsidRPr="00C605A1">
        <w:rPr>
          <w:rStyle w:val="Ttulodellibro"/>
          <w:rFonts w:ascii="Palatino Linotype" w:eastAsiaTheme="majorEastAsia" w:hAnsi="Palatino Linotype" w:cstheme="majorBidi"/>
          <w:sz w:val="28"/>
          <w:szCs w:val="28"/>
          <w:lang w:val="es-CL"/>
        </w:rPr>
        <w:t>Índice de tablas</w:t>
      </w:r>
    </w:p>
    <w:p w14:paraId="324B534A" w14:textId="77777777" w:rsidR="00B05E92" w:rsidRPr="00B05E92" w:rsidRDefault="00B05E92" w:rsidP="00B05E92"/>
    <w:p w14:paraId="7FE8F750" w14:textId="77777777" w:rsidR="000F35C1" w:rsidRDefault="00B05E92">
      <w:pPr>
        <w:pStyle w:val="Tabladeilustraciones"/>
        <w:tabs>
          <w:tab w:val="right" w:leader="dot" w:pos="8828"/>
        </w:tabs>
        <w:rPr>
          <w:noProof/>
          <w:lang w:val="es-CL" w:eastAsia="ja-JP"/>
        </w:rPr>
      </w:pPr>
      <w:r>
        <w:rPr>
          <w:rFonts w:ascii="Palatino Linotype" w:hAnsi="Palatino Linotype"/>
          <w:b/>
          <w:sz w:val="28"/>
        </w:rPr>
        <w:fldChar w:fldCharType="begin"/>
      </w:r>
      <w:r>
        <w:rPr>
          <w:rFonts w:ascii="Palatino Linotype" w:hAnsi="Palatino Linotype"/>
          <w:b/>
          <w:sz w:val="28"/>
        </w:rPr>
        <w:instrText xml:space="preserve"> TOC \c "Tabla" </w:instrText>
      </w:r>
      <w:r>
        <w:rPr>
          <w:rFonts w:ascii="Palatino Linotype" w:hAnsi="Palatino Linotype"/>
          <w:b/>
          <w:sz w:val="28"/>
        </w:rPr>
        <w:fldChar w:fldCharType="separate"/>
      </w:r>
      <w:r w:rsidR="000F35C1" w:rsidRPr="00B3789F">
        <w:rPr>
          <w:rFonts w:ascii="Palatino Linotype" w:hAnsi="Palatino Linotype"/>
          <w:noProof/>
        </w:rPr>
        <w:t>Tabla 1: Matrícula de estudiantes por tipo de IES, año 2017</w:t>
      </w:r>
      <w:r w:rsidR="000F35C1">
        <w:rPr>
          <w:noProof/>
        </w:rPr>
        <w:tab/>
      </w:r>
      <w:r w:rsidR="000F35C1">
        <w:rPr>
          <w:noProof/>
        </w:rPr>
        <w:fldChar w:fldCharType="begin"/>
      </w:r>
      <w:r w:rsidR="000F35C1">
        <w:rPr>
          <w:noProof/>
        </w:rPr>
        <w:instrText xml:space="preserve"> PAGEREF _Toc391553467 \h </w:instrText>
      </w:r>
      <w:r w:rsidR="000F35C1">
        <w:rPr>
          <w:noProof/>
        </w:rPr>
      </w:r>
      <w:r w:rsidR="000F35C1">
        <w:rPr>
          <w:noProof/>
        </w:rPr>
        <w:fldChar w:fldCharType="separate"/>
      </w:r>
      <w:r w:rsidR="000F35C1">
        <w:rPr>
          <w:noProof/>
        </w:rPr>
        <w:t>11</w:t>
      </w:r>
      <w:r w:rsidR="000F35C1">
        <w:rPr>
          <w:noProof/>
        </w:rPr>
        <w:fldChar w:fldCharType="end"/>
      </w:r>
    </w:p>
    <w:p w14:paraId="2764C647"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2: Matrícula de estudiantes de pregrado por tipo de IES, año 2017</w:t>
      </w:r>
      <w:r>
        <w:rPr>
          <w:noProof/>
        </w:rPr>
        <w:tab/>
      </w:r>
      <w:r>
        <w:rPr>
          <w:noProof/>
        </w:rPr>
        <w:fldChar w:fldCharType="begin"/>
      </w:r>
      <w:r>
        <w:rPr>
          <w:noProof/>
        </w:rPr>
        <w:instrText xml:space="preserve"> PAGEREF _Toc391553468 \h </w:instrText>
      </w:r>
      <w:r>
        <w:rPr>
          <w:noProof/>
        </w:rPr>
      </w:r>
      <w:r>
        <w:rPr>
          <w:noProof/>
        </w:rPr>
        <w:fldChar w:fldCharType="separate"/>
      </w:r>
      <w:r>
        <w:rPr>
          <w:noProof/>
        </w:rPr>
        <w:t>12</w:t>
      </w:r>
      <w:r>
        <w:rPr>
          <w:noProof/>
        </w:rPr>
        <w:fldChar w:fldCharType="end"/>
      </w:r>
    </w:p>
    <w:p w14:paraId="60176257"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3: Matrícula estudiantes de 1er año por IES (miles/año)</w:t>
      </w:r>
      <w:r>
        <w:rPr>
          <w:noProof/>
        </w:rPr>
        <w:tab/>
      </w:r>
      <w:r>
        <w:rPr>
          <w:noProof/>
        </w:rPr>
        <w:fldChar w:fldCharType="begin"/>
      </w:r>
      <w:r>
        <w:rPr>
          <w:noProof/>
        </w:rPr>
        <w:instrText xml:space="preserve"> PAGEREF _Toc391553469 \h </w:instrText>
      </w:r>
      <w:r>
        <w:rPr>
          <w:noProof/>
        </w:rPr>
      </w:r>
      <w:r>
        <w:rPr>
          <w:noProof/>
        </w:rPr>
        <w:fldChar w:fldCharType="separate"/>
      </w:r>
      <w:r>
        <w:rPr>
          <w:noProof/>
        </w:rPr>
        <w:t>12</w:t>
      </w:r>
      <w:r>
        <w:rPr>
          <w:noProof/>
        </w:rPr>
        <w:fldChar w:fldCharType="end"/>
      </w:r>
    </w:p>
    <w:p w14:paraId="7C24878E"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4: Evolución de matrícula de 1er año (miles/año)</w:t>
      </w:r>
      <w:r>
        <w:rPr>
          <w:noProof/>
        </w:rPr>
        <w:tab/>
      </w:r>
      <w:r>
        <w:rPr>
          <w:noProof/>
        </w:rPr>
        <w:fldChar w:fldCharType="begin"/>
      </w:r>
      <w:r>
        <w:rPr>
          <w:noProof/>
        </w:rPr>
        <w:instrText xml:space="preserve"> PAGEREF _Toc391553470 \h </w:instrText>
      </w:r>
      <w:r>
        <w:rPr>
          <w:noProof/>
        </w:rPr>
      </w:r>
      <w:r>
        <w:rPr>
          <w:noProof/>
        </w:rPr>
        <w:fldChar w:fldCharType="separate"/>
      </w:r>
      <w:r>
        <w:rPr>
          <w:noProof/>
        </w:rPr>
        <w:t>13</w:t>
      </w:r>
      <w:r>
        <w:rPr>
          <w:noProof/>
        </w:rPr>
        <w:fldChar w:fldCharType="end"/>
      </w:r>
    </w:p>
    <w:p w14:paraId="20715EA1"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5: Estudiantes beneficiados por el CAE</w:t>
      </w:r>
      <w:r>
        <w:rPr>
          <w:noProof/>
        </w:rPr>
        <w:tab/>
      </w:r>
      <w:r>
        <w:rPr>
          <w:noProof/>
        </w:rPr>
        <w:fldChar w:fldCharType="begin"/>
      </w:r>
      <w:r>
        <w:rPr>
          <w:noProof/>
        </w:rPr>
        <w:instrText xml:space="preserve"> PAGEREF _Toc391553471 \h </w:instrText>
      </w:r>
      <w:r>
        <w:rPr>
          <w:noProof/>
        </w:rPr>
      </w:r>
      <w:r>
        <w:rPr>
          <w:noProof/>
        </w:rPr>
        <w:fldChar w:fldCharType="separate"/>
      </w:r>
      <w:r>
        <w:rPr>
          <w:noProof/>
        </w:rPr>
        <w:t>14</w:t>
      </w:r>
      <w:r>
        <w:rPr>
          <w:noProof/>
        </w:rPr>
        <w:fldChar w:fldCharType="end"/>
      </w:r>
    </w:p>
    <w:p w14:paraId="38480CB2"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6: Porcentaje de cobertura de la diferencia entre el arancel regulado y el real</w:t>
      </w:r>
      <w:r>
        <w:rPr>
          <w:noProof/>
        </w:rPr>
        <w:tab/>
      </w:r>
      <w:r>
        <w:rPr>
          <w:noProof/>
        </w:rPr>
        <w:fldChar w:fldCharType="begin"/>
      </w:r>
      <w:r>
        <w:rPr>
          <w:noProof/>
        </w:rPr>
        <w:instrText xml:space="preserve"> PAGEREF _Toc391553472 \h </w:instrText>
      </w:r>
      <w:r>
        <w:rPr>
          <w:noProof/>
        </w:rPr>
      </w:r>
      <w:r>
        <w:rPr>
          <w:noProof/>
        </w:rPr>
        <w:fldChar w:fldCharType="separate"/>
      </w:r>
      <w:r>
        <w:rPr>
          <w:noProof/>
        </w:rPr>
        <w:t>16</w:t>
      </w:r>
      <w:r>
        <w:rPr>
          <w:noProof/>
        </w:rPr>
        <w:fldChar w:fldCharType="end"/>
      </w:r>
    </w:p>
    <w:p w14:paraId="3F1BEA12"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7: Comparación de sistemas de créditos actuales con la propuesta del Gobierno.</w:t>
      </w:r>
      <w:r>
        <w:rPr>
          <w:noProof/>
        </w:rPr>
        <w:tab/>
      </w:r>
      <w:r>
        <w:rPr>
          <w:noProof/>
        </w:rPr>
        <w:fldChar w:fldCharType="begin"/>
      </w:r>
      <w:r>
        <w:rPr>
          <w:noProof/>
        </w:rPr>
        <w:instrText xml:space="preserve"> PAGEREF _Toc391553473 \h </w:instrText>
      </w:r>
      <w:r>
        <w:rPr>
          <w:noProof/>
        </w:rPr>
      </w:r>
      <w:r>
        <w:rPr>
          <w:noProof/>
        </w:rPr>
        <w:fldChar w:fldCharType="separate"/>
      </w:r>
      <w:r>
        <w:rPr>
          <w:noProof/>
        </w:rPr>
        <w:t>18</w:t>
      </w:r>
      <w:r>
        <w:rPr>
          <w:noProof/>
        </w:rPr>
        <w:fldChar w:fldCharType="end"/>
      </w:r>
    </w:p>
    <w:p w14:paraId="2CEF937A" w14:textId="77777777" w:rsidR="000F35C1" w:rsidRDefault="000F35C1">
      <w:pPr>
        <w:pStyle w:val="Tabladeilustraciones"/>
        <w:tabs>
          <w:tab w:val="right" w:leader="dot" w:pos="8828"/>
        </w:tabs>
        <w:rPr>
          <w:noProof/>
          <w:lang w:val="es-CL" w:eastAsia="ja-JP"/>
        </w:rPr>
      </w:pPr>
      <w:r w:rsidRPr="00B3789F">
        <w:rPr>
          <w:rFonts w:ascii="Palatino Linotype" w:hAnsi="Palatino Linotype"/>
          <w:noProof/>
        </w:rPr>
        <w:t>Tabla 8: Resumen de sistemas de CGI en Australia e Inglaterra</w:t>
      </w:r>
      <w:r>
        <w:rPr>
          <w:noProof/>
        </w:rPr>
        <w:tab/>
      </w:r>
      <w:r>
        <w:rPr>
          <w:noProof/>
        </w:rPr>
        <w:fldChar w:fldCharType="begin"/>
      </w:r>
      <w:r>
        <w:rPr>
          <w:noProof/>
        </w:rPr>
        <w:instrText xml:space="preserve"> PAGEREF _Toc391553474 \h </w:instrText>
      </w:r>
      <w:r>
        <w:rPr>
          <w:noProof/>
        </w:rPr>
      </w:r>
      <w:r>
        <w:rPr>
          <w:noProof/>
        </w:rPr>
        <w:fldChar w:fldCharType="separate"/>
      </w:r>
      <w:r>
        <w:rPr>
          <w:noProof/>
        </w:rPr>
        <w:t>23</w:t>
      </w:r>
      <w:r>
        <w:rPr>
          <w:noProof/>
        </w:rPr>
        <w:fldChar w:fldCharType="end"/>
      </w:r>
    </w:p>
    <w:p w14:paraId="4C12B841" w14:textId="77777777" w:rsidR="00B05E92" w:rsidRDefault="00B05E92" w:rsidP="004D75AF">
      <w:pPr>
        <w:pStyle w:val="Ttulo2"/>
        <w:rPr>
          <w:rFonts w:ascii="Palatino Linotype" w:hAnsi="Palatino Linotype"/>
          <w:b w:val="0"/>
          <w:color w:val="auto"/>
          <w:sz w:val="28"/>
        </w:rPr>
      </w:pPr>
      <w:r>
        <w:rPr>
          <w:rFonts w:ascii="Palatino Linotype" w:hAnsi="Palatino Linotype"/>
          <w:b w:val="0"/>
          <w:color w:val="auto"/>
          <w:sz w:val="28"/>
        </w:rPr>
        <w:fldChar w:fldCharType="end"/>
      </w:r>
      <w:r>
        <w:rPr>
          <w:rFonts w:ascii="Palatino Linotype" w:hAnsi="Palatino Linotype"/>
          <w:b w:val="0"/>
          <w:color w:val="auto"/>
          <w:sz w:val="28"/>
        </w:rPr>
        <w:br w:type="page"/>
      </w:r>
    </w:p>
    <w:p w14:paraId="47B65921" w14:textId="58F1B752" w:rsidR="004D75AF" w:rsidRDefault="004D75AF" w:rsidP="004D75AF">
      <w:pPr>
        <w:pStyle w:val="Ttulo2"/>
        <w:rPr>
          <w:rFonts w:ascii="Palatino Linotype" w:hAnsi="Palatino Linotype"/>
          <w:b w:val="0"/>
          <w:color w:val="auto"/>
          <w:sz w:val="28"/>
        </w:rPr>
      </w:pPr>
      <w:bookmarkStart w:id="0" w:name="_Toc391553437"/>
      <w:r>
        <w:rPr>
          <w:rFonts w:ascii="Palatino Linotype" w:hAnsi="Palatino Linotype"/>
          <w:b w:val="0"/>
          <w:color w:val="auto"/>
          <w:sz w:val="28"/>
        </w:rPr>
        <w:lastRenderedPageBreak/>
        <w:t>Glosario</w:t>
      </w:r>
      <w:bookmarkEnd w:id="0"/>
    </w:p>
    <w:p w14:paraId="7EE88A7C" w14:textId="77777777" w:rsidR="004D75AF" w:rsidRDefault="004D75AF" w:rsidP="004D75AF"/>
    <w:tbl>
      <w:tblPr>
        <w:tblW w:w="8843" w:type="dxa"/>
        <w:tblInd w:w="55" w:type="dxa"/>
        <w:tblCellMar>
          <w:left w:w="70" w:type="dxa"/>
          <w:right w:w="70" w:type="dxa"/>
        </w:tblCellMar>
        <w:tblLook w:val="04A0" w:firstRow="1" w:lastRow="0" w:firstColumn="1" w:lastColumn="0" w:noHBand="0" w:noVBand="1"/>
      </w:tblPr>
      <w:tblGrid>
        <w:gridCol w:w="1755"/>
        <w:gridCol w:w="7088"/>
      </w:tblGrid>
      <w:tr w:rsidR="00464B54" w:rsidRPr="00464B54" w14:paraId="6C9F5D43" w14:textId="77777777" w:rsidTr="00464B54">
        <w:trPr>
          <w:trHeight w:val="727"/>
        </w:trPr>
        <w:tc>
          <w:tcPr>
            <w:tcW w:w="1755" w:type="dxa"/>
            <w:tcBorders>
              <w:top w:val="nil"/>
              <w:left w:val="nil"/>
              <w:bottom w:val="nil"/>
              <w:right w:val="nil"/>
            </w:tcBorders>
            <w:shd w:val="clear" w:color="auto" w:fill="auto"/>
            <w:noWrap/>
            <w:vAlign w:val="center"/>
            <w:hideMark/>
          </w:tcPr>
          <w:p w14:paraId="54E7CA30"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w:t>
            </w:r>
          </w:p>
        </w:tc>
        <w:tc>
          <w:tcPr>
            <w:tcW w:w="7088" w:type="dxa"/>
            <w:tcBorders>
              <w:top w:val="nil"/>
              <w:left w:val="nil"/>
              <w:bottom w:val="nil"/>
              <w:right w:val="nil"/>
            </w:tcBorders>
            <w:shd w:val="clear" w:color="auto" w:fill="auto"/>
            <w:noWrap/>
            <w:vAlign w:val="center"/>
            <w:hideMark/>
          </w:tcPr>
          <w:p w14:paraId="5B44773E"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Peso chileno</w:t>
            </w:r>
          </w:p>
        </w:tc>
      </w:tr>
      <w:tr w:rsidR="00464B54" w:rsidRPr="00464B54" w14:paraId="111EBA7C" w14:textId="77777777" w:rsidTr="00464B54">
        <w:trPr>
          <w:trHeight w:val="727"/>
        </w:trPr>
        <w:tc>
          <w:tcPr>
            <w:tcW w:w="1755" w:type="dxa"/>
            <w:tcBorders>
              <w:top w:val="nil"/>
              <w:left w:val="nil"/>
              <w:bottom w:val="nil"/>
              <w:right w:val="nil"/>
            </w:tcBorders>
            <w:shd w:val="clear" w:color="auto" w:fill="auto"/>
            <w:noWrap/>
            <w:vAlign w:val="center"/>
            <w:hideMark/>
          </w:tcPr>
          <w:p w14:paraId="38C9C814"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AFD</w:t>
            </w:r>
          </w:p>
        </w:tc>
        <w:tc>
          <w:tcPr>
            <w:tcW w:w="7088" w:type="dxa"/>
            <w:tcBorders>
              <w:top w:val="nil"/>
              <w:left w:val="nil"/>
              <w:bottom w:val="nil"/>
              <w:right w:val="nil"/>
            </w:tcBorders>
            <w:shd w:val="clear" w:color="auto" w:fill="auto"/>
            <w:noWrap/>
            <w:vAlign w:val="center"/>
            <w:hideMark/>
          </w:tcPr>
          <w:p w14:paraId="300D811B"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Aporte Fiscal Directo</w:t>
            </w:r>
          </w:p>
        </w:tc>
      </w:tr>
      <w:tr w:rsidR="00464B54" w:rsidRPr="00464B54" w14:paraId="032C92BF" w14:textId="77777777" w:rsidTr="00464B54">
        <w:trPr>
          <w:trHeight w:val="727"/>
        </w:trPr>
        <w:tc>
          <w:tcPr>
            <w:tcW w:w="1755" w:type="dxa"/>
            <w:tcBorders>
              <w:top w:val="nil"/>
              <w:left w:val="nil"/>
              <w:bottom w:val="nil"/>
              <w:right w:val="nil"/>
            </w:tcBorders>
            <w:shd w:val="clear" w:color="auto" w:fill="auto"/>
            <w:noWrap/>
            <w:vAlign w:val="center"/>
            <w:hideMark/>
          </w:tcPr>
          <w:p w14:paraId="62E4DA12"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AFI</w:t>
            </w:r>
          </w:p>
        </w:tc>
        <w:tc>
          <w:tcPr>
            <w:tcW w:w="7088" w:type="dxa"/>
            <w:tcBorders>
              <w:top w:val="nil"/>
              <w:left w:val="nil"/>
              <w:bottom w:val="nil"/>
              <w:right w:val="nil"/>
            </w:tcBorders>
            <w:shd w:val="clear" w:color="auto" w:fill="auto"/>
            <w:noWrap/>
            <w:vAlign w:val="center"/>
            <w:hideMark/>
          </w:tcPr>
          <w:p w14:paraId="008ED922"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Aporte Fiscal Indirecto</w:t>
            </w:r>
          </w:p>
        </w:tc>
      </w:tr>
      <w:tr w:rsidR="00464B54" w:rsidRPr="00464B54" w14:paraId="581C3ECD" w14:textId="77777777" w:rsidTr="00464B54">
        <w:trPr>
          <w:trHeight w:val="727"/>
        </w:trPr>
        <w:tc>
          <w:tcPr>
            <w:tcW w:w="1755" w:type="dxa"/>
            <w:tcBorders>
              <w:top w:val="nil"/>
              <w:left w:val="nil"/>
              <w:bottom w:val="nil"/>
              <w:right w:val="nil"/>
            </w:tcBorders>
            <w:shd w:val="clear" w:color="auto" w:fill="auto"/>
            <w:noWrap/>
            <w:vAlign w:val="center"/>
            <w:hideMark/>
          </w:tcPr>
          <w:p w14:paraId="60064F00"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CAE</w:t>
            </w:r>
          </w:p>
        </w:tc>
        <w:tc>
          <w:tcPr>
            <w:tcW w:w="7088" w:type="dxa"/>
            <w:tcBorders>
              <w:top w:val="nil"/>
              <w:left w:val="nil"/>
              <w:bottom w:val="nil"/>
              <w:right w:val="nil"/>
            </w:tcBorders>
            <w:shd w:val="clear" w:color="auto" w:fill="auto"/>
            <w:noWrap/>
            <w:vAlign w:val="center"/>
            <w:hideMark/>
          </w:tcPr>
          <w:p w14:paraId="6D119F61"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Crédito con Aval del Estado</w:t>
            </w:r>
          </w:p>
        </w:tc>
      </w:tr>
      <w:tr w:rsidR="004E59EE" w:rsidRPr="00464B54" w14:paraId="6721E60D" w14:textId="77777777" w:rsidTr="00464B54">
        <w:trPr>
          <w:trHeight w:val="727"/>
        </w:trPr>
        <w:tc>
          <w:tcPr>
            <w:tcW w:w="1755" w:type="dxa"/>
            <w:tcBorders>
              <w:top w:val="nil"/>
              <w:left w:val="nil"/>
              <w:bottom w:val="nil"/>
              <w:right w:val="nil"/>
            </w:tcBorders>
            <w:shd w:val="clear" w:color="auto" w:fill="auto"/>
            <w:noWrap/>
            <w:vAlign w:val="center"/>
          </w:tcPr>
          <w:p w14:paraId="2CD589B2" w14:textId="1A836A99" w:rsidR="004E59EE" w:rsidRPr="00464B54" w:rsidRDefault="004E59EE" w:rsidP="00464B54">
            <w:pPr>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CCI</w:t>
            </w:r>
          </w:p>
        </w:tc>
        <w:tc>
          <w:tcPr>
            <w:tcW w:w="7088" w:type="dxa"/>
            <w:tcBorders>
              <w:top w:val="nil"/>
              <w:left w:val="nil"/>
              <w:bottom w:val="nil"/>
              <w:right w:val="nil"/>
            </w:tcBorders>
            <w:shd w:val="clear" w:color="auto" w:fill="auto"/>
            <w:noWrap/>
            <w:vAlign w:val="center"/>
          </w:tcPr>
          <w:p w14:paraId="17104B35" w14:textId="2C64815D" w:rsidR="004E59EE" w:rsidRPr="00464B54" w:rsidRDefault="004E59EE" w:rsidP="00464B54">
            <w:pPr>
              <w:jc w:val="right"/>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Créditos Contingentes al Ingreso</w:t>
            </w:r>
          </w:p>
        </w:tc>
      </w:tr>
      <w:tr w:rsidR="00464B54" w:rsidRPr="00464B54" w14:paraId="0D9B66CC" w14:textId="77777777" w:rsidTr="00464B54">
        <w:trPr>
          <w:trHeight w:val="727"/>
        </w:trPr>
        <w:tc>
          <w:tcPr>
            <w:tcW w:w="1755" w:type="dxa"/>
            <w:tcBorders>
              <w:top w:val="nil"/>
              <w:left w:val="nil"/>
              <w:bottom w:val="nil"/>
              <w:right w:val="nil"/>
            </w:tcBorders>
            <w:shd w:val="clear" w:color="auto" w:fill="auto"/>
            <w:noWrap/>
            <w:vAlign w:val="center"/>
            <w:hideMark/>
          </w:tcPr>
          <w:p w14:paraId="4EA23456"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DFL</w:t>
            </w:r>
          </w:p>
        </w:tc>
        <w:tc>
          <w:tcPr>
            <w:tcW w:w="7088" w:type="dxa"/>
            <w:tcBorders>
              <w:top w:val="nil"/>
              <w:left w:val="nil"/>
              <w:bottom w:val="nil"/>
              <w:right w:val="nil"/>
            </w:tcBorders>
            <w:shd w:val="clear" w:color="auto" w:fill="auto"/>
            <w:noWrap/>
            <w:vAlign w:val="center"/>
            <w:hideMark/>
          </w:tcPr>
          <w:p w14:paraId="3FBE965E"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Decreto con Fuerza de Ley</w:t>
            </w:r>
          </w:p>
        </w:tc>
      </w:tr>
      <w:tr w:rsidR="00464B54" w:rsidRPr="00464B54" w14:paraId="4F0CF613" w14:textId="77777777" w:rsidTr="00464B54">
        <w:trPr>
          <w:trHeight w:val="727"/>
        </w:trPr>
        <w:tc>
          <w:tcPr>
            <w:tcW w:w="1755" w:type="dxa"/>
            <w:tcBorders>
              <w:top w:val="nil"/>
              <w:left w:val="nil"/>
              <w:bottom w:val="nil"/>
              <w:right w:val="nil"/>
            </w:tcBorders>
            <w:shd w:val="clear" w:color="auto" w:fill="auto"/>
            <w:noWrap/>
            <w:vAlign w:val="center"/>
            <w:hideMark/>
          </w:tcPr>
          <w:p w14:paraId="1DC36100"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FSCU</w:t>
            </w:r>
          </w:p>
        </w:tc>
        <w:tc>
          <w:tcPr>
            <w:tcW w:w="7088" w:type="dxa"/>
            <w:tcBorders>
              <w:top w:val="nil"/>
              <w:left w:val="nil"/>
              <w:bottom w:val="nil"/>
              <w:right w:val="nil"/>
            </w:tcBorders>
            <w:shd w:val="clear" w:color="auto" w:fill="auto"/>
            <w:noWrap/>
            <w:vAlign w:val="center"/>
            <w:hideMark/>
          </w:tcPr>
          <w:p w14:paraId="6B6CFC03"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Fondo Solidario de Crédito Universitario</w:t>
            </w:r>
          </w:p>
        </w:tc>
      </w:tr>
      <w:tr w:rsidR="00464B54" w:rsidRPr="00464B54" w14:paraId="6207471F" w14:textId="77777777" w:rsidTr="00464B54">
        <w:trPr>
          <w:trHeight w:val="727"/>
        </w:trPr>
        <w:tc>
          <w:tcPr>
            <w:tcW w:w="1755" w:type="dxa"/>
            <w:tcBorders>
              <w:top w:val="nil"/>
              <w:left w:val="nil"/>
              <w:bottom w:val="nil"/>
              <w:right w:val="nil"/>
            </w:tcBorders>
            <w:shd w:val="clear" w:color="auto" w:fill="auto"/>
            <w:noWrap/>
            <w:vAlign w:val="center"/>
            <w:hideMark/>
          </w:tcPr>
          <w:p w14:paraId="3F4921D3"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FUAS</w:t>
            </w:r>
          </w:p>
        </w:tc>
        <w:tc>
          <w:tcPr>
            <w:tcW w:w="7088" w:type="dxa"/>
            <w:tcBorders>
              <w:top w:val="nil"/>
              <w:left w:val="nil"/>
              <w:bottom w:val="nil"/>
              <w:right w:val="nil"/>
            </w:tcBorders>
            <w:shd w:val="clear" w:color="auto" w:fill="auto"/>
            <w:noWrap/>
            <w:vAlign w:val="center"/>
            <w:hideMark/>
          </w:tcPr>
          <w:p w14:paraId="73A37D35"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Formulario Único de Acreditación Socioeconómica</w:t>
            </w:r>
          </w:p>
        </w:tc>
      </w:tr>
      <w:tr w:rsidR="00464B54" w:rsidRPr="00464B54" w14:paraId="24C9FD77" w14:textId="77777777" w:rsidTr="00464B54">
        <w:trPr>
          <w:trHeight w:val="727"/>
        </w:trPr>
        <w:tc>
          <w:tcPr>
            <w:tcW w:w="1755" w:type="dxa"/>
            <w:tcBorders>
              <w:top w:val="nil"/>
              <w:left w:val="nil"/>
              <w:bottom w:val="nil"/>
              <w:right w:val="nil"/>
            </w:tcBorders>
            <w:shd w:val="clear" w:color="auto" w:fill="auto"/>
            <w:noWrap/>
            <w:vAlign w:val="center"/>
            <w:hideMark/>
          </w:tcPr>
          <w:p w14:paraId="4C406D9E"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IES</w:t>
            </w:r>
          </w:p>
        </w:tc>
        <w:tc>
          <w:tcPr>
            <w:tcW w:w="7088" w:type="dxa"/>
            <w:tcBorders>
              <w:top w:val="nil"/>
              <w:left w:val="nil"/>
              <w:bottom w:val="nil"/>
              <w:right w:val="nil"/>
            </w:tcBorders>
            <w:shd w:val="clear" w:color="auto" w:fill="auto"/>
            <w:noWrap/>
            <w:vAlign w:val="center"/>
            <w:hideMark/>
          </w:tcPr>
          <w:p w14:paraId="5EBA1BD1"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Institución(es) de Educación Superior</w:t>
            </w:r>
          </w:p>
        </w:tc>
      </w:tr>
      <w:tr w:rsidR="00464B54" w:rsidRPr="00464B54" w14:paraId="304F88CE" w14:textId="77777777" w:rsidTr="00464B54">
        <w:trPr>
          <w:trHeight w:val="727"/>
        </w:trPr>
        <w:tc>
          <w:tcPr>
            <w:tcW w:w="1755" w:type="dxa"/>
            <w:tcBorders>
              <w:top w:val="nil"/>
              <w:left w:val="nil"/>
              <w:bottom w:val="nil"/>
              <w:right w:val="nil"/>
            </w:tcBorders>
            <w:shd w:val="clear" w:color="auto" w:fill="auto"/>
            <w:noWrap/>
            <w:vAlign w:val="center"/>
            <w:hideMark/>
          </w:tcPr>
          <w:p w14:paraId="740D7E37"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Mineduc</w:t>
            </w:r>
          </w:p>
        </w:tc>
        <w:tc>
          <w:tcPr>
            <w:tcW w:w="7088" w:type="dxa"/>
            <w:tcBorders>
              <w:top w:val="nil"/>
              <w:left w:val="nil"/>
              <w:bottom w:val="nil"/>
              <w:right w:val="nil"/>
            </w:tcBorders>
            <w:shd w:val="clear" w:color="auto" w:fill="auto"/>
            <w:noWrap/>
            <w:vAlign w:val="center"/>
            <w:hideMark/>
          </w:tcPr>
          <w:p w14:paraId="44B008D4"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Ministerio de Educación</w:t>
            </w:r>
          </w:p>
        </w:tc>
      </w:tr>
      <w:tr w:rsidR="00464B54" w:rsidRPr="00464B54" w14:paraId="29571B3A" w14:textId="77777777" w:rsidTr="00464B54">
        <w:trPr>
          <w:trHeight w:val="727"/>
        </w:trPr>
        <w:tc>
          <w:tcPr>
            <w:tcW w:w="1755" w:type="dxa"/>
            <w:tcBorders>
              <w:top w:val="nil"/>
              <w:left w:val="nil"/>
              <w:bottom w:val="nil"/>
              <w:right w:val="nil"/>
            </w:tcBorders>
            <w:shd w:val="clear" w:color="auto" w:fill="auto"/>
            <w:noWrap/>
            <w:vAlign w:val="center"/>
            <w:hideMark/>
          </w:tcPr>
          <w:p w14:paraId="76400DDD"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PSU</w:t>
            </w:r>
          </w:p>
        </w:tc>
        <w:tc>
          <w:tcPr>
            <w:tcW w:w="7088" w:type="dxa"/>
            <w:tcBorders>
              <w:top w:val="nil"/>
              <w:left w:val="nil"/>
              <w:bottom w:val="nil"/>
              <w:right w:val="nil"/>
            </w:tcBorders>
            <w:shd w:val="clear" w:color="auto" w:fill="auto"/>
            <w:noWrap/>
            <w:vAlign w:val="center"/>
            <w:hideMark/>
          </w:tcPr>
          <w:p w14:paraId="1260DEFC"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Prueba de Selección Universitaria</w:t>
            </w:r>
          </w:p>
        </w:tc>
      </w:tr>
      <w:tr w:rsidR="00464B54" w:rsidRPr="00464B54" w14:paraId="1857F7DB" w14:textId="77777777" w:rsidTr="00464B54">
        <w:trPr>
          <w:trHeight w:val="727"/>
        </w:trPr>
        <w:tc>
          <w:tcPr>
            <w:tcW w:w="1755" w:type="dxa"/>
            <w:tcBorders>
              <w:top w:val="nil"/>
              <w:left w:val="nil"/>
              <w:bottom w:val="nil"/>
              <w:right w:val="nil"/>
            </w:tcBorders>
            <w:shd w:val="clear" w:color="auto" w:fill="auto"/>
            <w:noWrap/>
            <w:vAlign w:val="center"/>
            <w:hideMark/>
          </w:tcPr>
          <w:p w14:paraId="0DBC43F5"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UF</w:t>
            </w:r>
          </w:p>
        </w:tc>
        <w:tc>
          <w:tcPr>
            <w:tcW w:w="7088" w:type="dxa"/>
            <w:tcBorders>
              <w:top w:val="nil"/>
              <w:left w:val="nil"/>
              <w:bottom w:val="nil"/>
              <w:right w:val="nil"/>
            </w:tcBorders>
            <w:shd w:val="clear" w:color="auto" w:fill="auto"/>
            <w:noWrap/>
            <w:vAlign w:val="center"/>
            <w:hideMark/>
          </w:tcPr>
          <w:p w14:paraId="0A87D736"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Unidad de Fomento</w:t>
            </w:r>
          </w:p>
        </w:tc>
      </w:tr>
      <w:tr w:rsidR="00464B54" w:rsidRPr="00464B54" w14:paraId="4F15BA20" w14:textId="77777777" w:rsidTr="00464B54">
        <w:trPr>
          <w:trHeight w:val="727"/>
        </w:trPr>
        <w:tc>
          <w:tcPr>
            <w:tcW w:w="1755" w:type="dxa"/>
            <w:tcBorders>
              <w:top w:val="nil"/>
              <w:left w:val="nil"/>
              <w:bottom w:val="nil"/>
              <w:right w:val="nil"/>
            </w:tcBorders>
            <w:shd w:val="clear" w:color="auto" w:fill="auto"/>
            <w:noWrap/>
            <w:vAlign w:val="center"/>
            <w:hideMark/>
          </w:tcPr>
          <w:p w14:paraId="01CC39BF"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USD</w:t>
            </w:r>
          </w:p>
        </w:tc>
        <w:tc>
          <w:tcPr>
            <w:tcW w:w="7088" w:type="dxa"/>
            <w:tcBorders>
              <w:top w:val="nil"/>
              <w:left w:val="nil"/>
              <w:bottom w:val="nil"/>
              <w:right w:val="nil"/>
            </w:tcBorders>
            <w:shd w:val="clear" w:color="auto" w:fill="auto"/>
            <w:noWrap/>
            <w:vAlign w:val="center"/>
            <w:hideMark/>
          </w:tcPr>
          <w:p w14:paraId="12CFF5CF"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Dólar de Estados Unidos</w:t>
            </w:r>
          </w:p>
        </w:tc>
      </w:tr>
      <w:tr w:rsidR="00464B54" w:rsidRPr="00464B54" w14:paraId="527AE1A1" w14:textId="77777777" w:rsidTr="00464B54">
        <w:trPr>
          <w:trHeight w:val="727"/>
        </w:trPr>
        <w:tc>
          <w:tcPr>
            <w:tcW w:w="1755" w:type="dxa"/>
            <w:tcBorders>
              <w:top w:val="nil"/>
              <w:left w:val="nil"/>
              <w:bottom w:val="nil"/>
              <w:right w:val="nil"/>
            </w:tcBorders>
            <w:shd w:val="clear" w:color="auto" w:fill="auto"/>
            <w:noWrap/>
            <w:vAlign w:val="center"/>
            <w:hideMark/>
          </w:tcPr>
          <w:p w14:paraId="0F9249C0" w14:textId="77777777" w:rsidR="00464B54" w:rsidRPr="00464B54" w:rsidRDefault="00464B54" w:rsidP="00464B54">
            <w:pPr>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UTM</w:t>
            </w:r>
          </w:p>
        </w:tc>
        <w:tc>
          <w:tcPr>
            <w:tcW w:w="7088" w:type="dxa"/>
            <w:tcBorders>
              <w:top w:val="nil"/>
              <w:left w:val="nil"/>
              <w:bottom w:val="nil"/>
              <w:right w:val="nil"/>
            </w:tcBorders>
            <w:shd w:val="clear" w:color="auto" w:fill="auto"/>
            <w:noWrap/>
            <w:vAlign w:val="center"/>
            <w:hideMark/>
          </w:tcPr>
          <w:p w14:paraId="7A240258" w14:textId="77777777" w:rsidR="00464B54" w:rsidRPr="00464B54" w:rsidRDefault="00464B54" w:rsidP="00464B54">
            <w:pPr>
              <w:jc w:val="right"/>
              <w:rPr>
                <w:rFonts w:ascii="Palatino Linotype" w:eastAsia="Times New Roman" w:hAnsi="Palatino Linotype" w:cs="Times New Roman"/>
                <w:color w:val="000000"/>
                <w:sz w:val="22"/>
                <w:szCs w:val="22"/>
                <w:lang w:val="es-CL"/>
              </w:rPr>
            </w:pPr>
            <w:r w:rsidRPr="00464B54">
              <w:rPr>
                <w:rFonts w:ascii="Palatino Linotype" w:eastAsia="Times New Roman" w:hAnsi="Palatino Linotype" w:cs="Times New Roman"/>
                <w:color w:val="000000"/>
                <w:sz w:val="22"/>
                <w:szCs w:val="22"/>
                <w:lang w:val="es-CL"/>
              </w:rPr>
              <w:t>Unidad Tributaria Mensual</w:t>
            </w:r>
          </w:p>
        </w:tc>
      </w:tr>
      <w:tr w:rsidR="000C7ECA" w:rsidRPr="00464B54" w14:paraId="2BA26BBB" w14:textId="77777777" w:rsidTr="00464B54">
        <w:trPr>
          <w:trHeight w:val="727"/>
        </w:trPr>
        <w:tc>
          <w:tcPr>
            <w:tcW w:w="1755" w:type="dxa"/>
            <w:tcBorders>
              <w:top w:val="nil"/>
              <w:left w:val="nil"/>
              <w:bottom w:val="nil"/>
              <w:right w:val="nil"/>
            </w:tcBorders>
            <w:shd w:val="clear" w:color="auto" w:fill="auto"/>
            <w:noWrap/>
            <w:vAlign w:val="center"/>
          </w:tcPr>
          <w:p w14:paraId="40F0D7CE" w14:textId="110B9E1B" w:rsidR="000C7ECA" w:rsidRPr="00464B54" w:rsidRDefault="000C7ECA" w:rsidP="00464B54">
            <w:pPr>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UTA</w:t>
            </w:r>
          </w:p>
        </w:tc>
        <w:tc>
          <w:tcPr>
            <w:tcW w:w="7088" w:type="dxa"/>
            <w:tcBorders>
              <w:top w:val="nil"/>
              <w:left w:val="nil"/>
              <w:bottom w:val="nil"/>
              <w:right w:val="nil"/>
            </w:tcBorders>
            <w:shd w:val="clear" w:color="auto" w:fill="auto"/>
            <w:noWrap/>
            <w:vAlign w:val="center"/>
          </w:tcPr>
          <w:p w14:paraId="7293D013" w14:textId="05BD3BFE" w:rsidR="000C7ECA" w:rsidRPr="00464B54" w:rsidRDefault="000C7ECA" w:rsidP="00464B54">
            <w:pPr>
              <w:jc w:val="right"/>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Unidad Tributaria Anual</w:t>
            </w:r>
          </w:p>
        </w:tc>
      </w:tr>
      <w:tr w:rsidR="000C7ECA" w:rsidRPr="00464B54" w14:paraId="6DBF2811" w14:textId="77777777" w:rsidTr="00464B54">
        <w:trPr>
          <w:trHeight w:val="727"/>
        </w:trPr>
        <w:tc>
          <w:tcPr>
            <w:tcW w:w="1755" w:type="dxa"/>
            <w:tcBorders>
              <w:top w:val="nil"/>
              <w:left w:val="nil"/>
              <w:bottom w:val="nil"/>
              <w:right w:val="nil"/>
            </w:tcBorders>
            <w:shd w:val="clear" w:color="auto" w:fill="auto"/>
            <w:noWrap/>
            <w:vAlign w:val="center"/>
          </w:tcPr>
          <w:p w14:paraId="42D056CF" w14:textId="59710E4F" w:rsidR="000C7ECA" w:rsidRPr="00464B54" w:rsidRDefault="000C7ECA" w:rsidP="00464B54">
            <w:pPr>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SUA</w:t>
            </w:r>
          </w:p>
        </w:tc>
        <w:tc>
          <w:tcPr>
            <w:tcW w:w="7088" w:type="dxa"/>
            <w:tcBorders>
              <w:top w:val="nil"/>
              <w:left w:val="nil"/>
              <w:bottom w:val="nil"/>
              <w:right w:val="nil"/>
            </w:tcBorders>
            <w:shd w:val="clear" w:color="auto" w:fill="auto"/>
            <w:noWrap/>
            <w:vAlign w:val="center"/>
          </w:tcPr>
          <w:p w14:paraId="4D9F279A" w14:textId="7DCD9FAE" w:rsidR="000C7ECA" w:rsidRPr="00464B54" w:rsidRDefault="000C7ECA" w:rsidP="00464B54">
            <w:pPr>
              <w:jc w:val="right"/>
              <w:rPr>
                <w:rFonts w:ascii="Palatino Linotype" w:eastAsia="Times New Roman" w:hAnsi="Palatino Linotype" w:cs="Times New Roman"/>
                <w:color w:val="000000"/>
                <w:sz w:val="22"/>
                <w:szCs w:val="22"/>
                <w:lang w:val="es-CL"/>
              </w:rPr>
            </w:pPr>
            <w:r>
              <w:rPr>
                <w:rFonts w:ascii="Palatino Linotype" w:eastAsia="Times New Roman" w:hAnsi="Palatino Linotype" w:cs="Times New Roman"/>
                <w:color w:val="000000"/>
                <w:sz w:val="22"/>
                <w:szCs w:val="22"/>
                <w:lang w:val="es-CL"/>
              </w:rPr>
              <w:t>Sistema Único de Admisión, para ingresar a la educación superior</w:t>
            </w:r>
          </w:p>
        </w:tc>
      </w:tr>
    </w:tbl>
    <w:p w14:paraId="51197182" w14:textId="3846CE96" w:rsidR="005160A2" w:rsidRDefault="004F7BF1" w:rsidP="00382107">
      <w:pPr>
        <w:pStyle w:val="Ttulo1"/>
        <w:rPr>
          <w:rFonts w:ascii="Palatino Linotype" w:hAnsi="Palatino Linotype"/>
          <w:b w:val="0"/>
          <w:color w:val="auto"/>
        </w:rPr>
      </w:pPr>
      <w:bookmarkStart w:id="1" w:name="_Toc391553438"/>
      <w:r>
        <w:rPr>
          <w:rFonts w:ascii="Palatino Linotype" w:hAnsi="Palatino Linotype"/>
          <w:b w:val="0"/>
          <w:color w:val="auto"/>
        </w:rPr>
        <w:lastRenderedPageBreak/>
        <w:t xml:space="preserve">Sección </w:t>
      </w:r>
      <w:r w:rsidR="00382107" w:rsidRPr="00382107">
        <w:rPr>
          <w:rFonts w:ascii="Palatino Linotype" w:hAnsi="Palatino Linotype"/>
          <w:b w:val="0"/>
          <w:color w:val="auto"/>
        </w:rPr>
        <w:t xml:space="preserve">I: </w:t>
      </w:r>
      <w:r w:rsidR="008F194D">
        <w:rPr>
          <w:rFonts w:ascii="Palatino Linotype" w:hAnsi="Palatino Linotype"/>
          <w:b w:val="0"/>
          <w:color w:val="auto"/>
        </w:rPr>
        <w:t>Financiamiento a instituciones de educación superior: contexto regulatorio</w:t>
      </w:r>
      <w:r w:rsidR="00635944">
        <w:rPr>
          <w:rFonts w:ascii="Palatino Linotype" w:hAnsi="Palatino Linotype"/>
          <w:b w:val="0"/>
          <w:color w:val="auto"/>
        </w:rPr>
        <w:t xml:space="preserve"> y situación actual</w:t>
      </w:r>
      <w:bookmarkEnd w:id="1"/>
    </w:p>
    <w:p w14:paraId="08D86093" w14:textId="046D6259" w:rsidR="00441961" w:rsidRPr="00AE18CD" w:rsidRDefault="00BE1414" w:rsidP="00AE18CD">
      <w:pPr>
        <w:pStyle w:val="Ttulo2"/>
        <w:rPr>
          <w:rFonts w:ascii="Palatino Linotype" w:hAnsi="Palatino Linotype"/>
          <w:b w:val="0"/>
          <w:color w:val="auto"/>
          <w:sz w:val="28"/>
        </w:rPr>
      </w:pPr>
      <w:bookmarkStart w:id="2" w:name="_Toc391553439"/>
      <w:r w:rsidRPr="00175DC1">
        <w:rPr>
          <w:rFonts w:ascii="Palatino Linotype" w:hAnsi="Palatino Linotype"/>
          <w:b w:val="0"/>
          <w:color w:val="auto"/>
          <w:sz w:val="28"/>
        </w:rPr>
        <w:t>A</w:t>
      </w:r>
      <w:r w:rsidR="00441961" w:rsidRPr="00175DC1">
        <w:rPr>
          <w:rFonts w:ascii="Palatino Linotype" w:hAnsi="Palatino Linotype"/>
          <w:b w:val="0"/>
          <w:color w:val="auto"/>
          <w:sz w:val="28"/>
        </w:rPr>
        <w:t xml:space="preserve">) </w:t>
      </w:r>
      <w:r w:rsidR="007E7267">
        <w:rPr>
          <w:rFonts w:ascii="Palatino Linotype" w:hAnsi="Palatino Linotype"/>
          <w:b w:val="0"/>
          <w:color w:val="auto"/>
          <w:sz w:val="28"/>
        </w:rPr>
        <w:t>Marco regulatorio</w:t>
      </w:r>
      <w:bookmarkEnd w:id="2"/>
    </w:p>
    <w:p w14:paraId="4F3CF24B" w14:textId="537078B0" w:rsidR="00502371" w:rsidRPr="009A2978" w:rsidRDefault="009A2978" w:rsidP="009A2978">
      <w:pPr>
        <w:pStyle w:val="Ttulo3"/>
        <w:rPr>
          <w:rFonts w:ascii="Palatino Linotype" w:hAnsi="Palatino Linotype"/>
          <w:color w:val="auto"/>
          <w:sz w:val="26"/>
          <w:szCs w:val="26"/>
        </w:rPr>
      </w:pPr>
      <w:bookmarkStart w:id="3" w:name="_Toc391553440"/>
      <w:r w:rsidRPr="009A2978">
        <w:rPr>
          <w:rFonts w:ascii="Palatino Linotype" w:hAnsi="Palatino Linotype"/>
          <w:color w:val="auto"/>
          <w:sz w:val="26"/>
          <w:szCs w:val="26"/>
          <w:lang w:val="es-ES"/>
        </w:rPr>
        <w:t xml:space="preserve">i) </w:t>
      </w:r>
      <w:r w:rsidR="00502371" w:rsidRPr="009A2978">
        <w:rPr>
          <w:rFonts w:ascii="Palatino Linotype" w:hAnsi="Palatino Linotype"/>
          <w:color w:val="auto"/>
          <w:sz w:val="26"/>
          <w:szCs w:val="26"/>
          <w:lang w:val="es-ES"/>
        </w:rPr>
        <w:t>Financiamiento que otorga el Estado a las instituciones de educación superior</w:t>
      </w:r>
      <w:bookmarkEnd w:id="3"/>
    </w:p>
    <w:p w14:paraId="7027F40C" w14:textId="77777777" w:rsidR="00502371" w:rsidRDefault="00502371" w:rsidP="00B9708E">
      <w:pPr>
        <w:jc w:val="both"/>
      </w:pPr>
    </w:p>
    <w:p w14:paraId="4B0CA644" w14:textId="7D9DF729" w:rsidR="00C9128F" w:rsidRDefault="00945C29" w:rsidP="00502371">
      <w:pPr>
        <w:jc w:val="both"/>
        <w:rPr>
          <w:rFonts w:ascii="Palatino Linotype" w:hAnsi="Palatino Linotype" w:cs="Arial"/>
        </w:rPr>
      </w:pPr>
      <w:r>
        <w:rPr>
          <w:rFonts w:ascii="Palatino Linotype" w:hAnsi="Palatino Linotype" w:cs="Arial"/>
        </w:rPr>
        <w:t xml:space="preserve">El financiamiento </w:t>
      </w:r>
      <w:r w:rsidR="00BE5C52">
        <w:rPr>
          <w:rFonts w:ascii="Palatino Linotype" w:hAnsi="Palatino Linotype" w:cs="Arial"/>
        </w:rPr>
        <w:t>que otorga el Estado de Chile a las instituciones de</w:t>
      </w:r>
      <w:r>
        <w:rPr>
          <w:rFonts w:ascii="Palatino Linotype" w:hAnsi="Palatino Linotype" w:cs="Arial"/>
        </w:rPr>
        <w:t xml:space="preserve"> educación superior </w:t>
      </w:r>
      <w:r w:rsidR="007E7267">
        <w:rPr>
          <w:rFonts w:ascii="Palatino Linotype" w:hAnsi="Palatino Linotype" w:cs="Arial"/>
        </w:rPr>
        <w:t xml:space="preserve">(IES) </w:t>
      </w:r>
      <w:r>
        <w:rPr>
          <w:rFonts w:ascii="Palatino Linotype" w:hAnsi="Palatino Linotype" w:cs="Arial"/>
        </w:rPr>
        <w:t xml:space="preserve">está regulado mediante el Decreto con Fuerza de Ley (DFL) </w:t>
      </w:r>
      <w:r w:rsidR="0054200F">
        <w:rPr>
          <w:rFonts w:ascii="Palatino Linotype" w:hAnsi="Palatino Linotype" w:cs="Arial"/>
        </w:rPr>
        <w:t xml:space="preserve">Nº </w:t>
      </w:r>
      <w:r>
        <w:rPr>
          <w:rFonts w:ascii="Palatino Linotype" w:hAnsi="Palatino Linotype" w:cs="Arial"/>
        </w:rPr>
        <w:t>4</w:t>
      </w:r>
      <w:r w:rsidR="005D3EE9">
        <w:rPr>
          <w:rFonts w:ascii="Palatino Linotype" w:hAnsi="Palatino Linotype" w:cs="Arial"/>
        </w:rPr>
        <w:t xml:space="preserve"> </w:t>
      </w:r>
      <w:r w:rsidR="008A72DC">
        <w:rPr>
          <w:rFonts w:ascii="Palatino Linotype" w:hAnsi="Palatino Linotype" w:cs="Arial"/>
        </w:rPr>
        <w:t>de 1981, el cual fija las normas sobre el</w:t>
      </w:r>
      <w:r w:rsidR="008F194D">
        <w:rPr>
          <w:rFonts w:ascii="Palatino Linotype" w:hAnsi="Palatino Linotype" w:cs="Arial"/>
        </w:rPr>
        <w:t xml:space="preserve"> financiamiento a universidades e institutos profesionales</w:t>
      </w:r>
      <w:r w:rsidR="007E7267">
        <w:rPr>
          <w:rFonts w:ascii="Palatino Linotype" w:hAnsi="Palatino Linotype" w:cs="Arial"/>
        </w:rPr>
        <w:t xml:space="preserve">. </w:t>
      </w:r>
      <w:r w:rsidR="00A12286">
        <w:rPr>
          <w:rFonts w:ascii="Palatino Linotype" w:hAnsi="Palatino Linotype" w:cs="Arial"/>
        </w:rPr>
        <w:t>De acuerdo a esta ley, el Estado otorga financiamiento a las instituciones que pertenecen al Consejo de Rectores (C</w:t>
      </w:r>
      <w:r w:rsidR="005D3EE9">
        <w:rPr>
          <w:rFonts w:ascii="Palatino Linotype" w:hAnsi="Palatino Linotype" w:cs="Arial"/>
        </w:rPr>
        <w:t>RUCH</w:t>
      </w:r>
      <w:r w:rsidR="00A12286">
        <w:rPr>
          <w:rFonts w:ascii="Palatino Linotype" w:hAnsi="Palatino Linotype" w:cs="Arial"/>
        </w:rPr>
        <w:t>)</w:t>
      </w:r>
      <w:r w:rsidR="00A12286">
        <w:rPr>
          <w:rStyle w:val="Refdenotaalpie"/>
          <w:rFonts w:ascii="Palatino Linotype" w:hAnsi="Palatino Linotype" w:cs="Arial"/>
        </w:rPr>
        <w:footnoteReference w:id="1"/>
      </w:r>
      <w:r w:rsidR="00A12286">
        <w:rPr>
          <w:rFonts w:ascii="Palatino Linotype" w:hAnsi="Palatino Linotype" w:cs="Arial"/>
        </w:rPr>
        <w:t xml:space="preserve"> </w:t>
      </w:r>
      <w:r w:rsidR="00502371">
        <w:rPr>
          <w:rFonts w:ascii="Palatino Linotype" w:hAnsi="Palatino Linotype" w:cs="Arial"/>
        </w:rPr>
        <w:t>a través del Aporte Fiscal Directo (AFD). Éste c</w:t>
      </w:r>
      <w:r w:rsidR="00502371" w:rsidRPr="00502371">
        <w:rPr>
          <w:rFonts w:ascii="Palatino Linotype" w:hAnsi="Palatino Linotype" w:cs="Arial"/>
        </w:rPr>
        <w:t>onsiste en un subsidio de libre disponibilidad, asignado en un 95% conforme a criterios histórico</w:t>
      </w:r>
      <w:r w:rsidR="00502371">
        <w:rPr>
          <w:rFonts w:ascii="Palatino Linotype" w:hAnsi="Palatino Linotype" w:cs="Arial"/>
        </w:rPr>
        <w:t>s, y el 5% restante de acuerdo a</w:t>
      </w:r>
      <w:r w:rsidR="00502371" w:rsidRPr="00502371">
        <w:rPr>
          <w:rFonts w:ascii="Palatino Linotype" w:hAnsi="Palatino Linotype" w:cs="Arial"/>
        </w:rPr>
        <w:t xml:space="preserve"> indicadores de desempeño anuales relacionados con la matrícula estudiantil, el número de académicos con postgrado y el número de proyectos y publicaciones de investigación de excelencia.</w:t>
      </w:r>
      <w:r w:rsidR="00502371">
        <w:rPr>
          <w:rFonts w:ascii="Palatino Linotype" w:hAnsi="Palatino Linotype" w:cs="Arial"/>
        </w:rPr>
        <w:t xml:space="preserve"> El año 2017, por concepto de AFD, el Estado otorgó 359 millones de USD a las universidades del CRUCH</w:t>
      </w:r>
      <w:r w:rsidR="0004366E">
        <w:rPr>
          <w:rStyle w:val="Refdenotaalpie"/>
          <w:rFonts w:ascii="Palatino Linotype" w:hAnsi="Palatino Linotype" w:cs="Arial"/>
        </w:rPr>
        <w:footnoteReference w:id="2"/>
      </w:r>
      <w:r w:rsidR="008A41FD">
        <w:rPr>
          <w:rFonts w:ascii="Palatino Linotype" w:hAnsi="Palatino Linotype" w:cs="Arial"/>
        </w:rPr>
        <w:t xml:space="preserve"> (Ver Anexo 1 con datos de aporte AFD por universidad, para el año 2017)</w:t>
      </w:r>
      <w:r w:rsidR="00502371">
        <w:rPr>
          <w:rFonts w:ascii="Palatino Linotype" w:hAnsi="Palatino Linotype" w:cs="Arial"/>
        </w:rPr>
        <w:t>.</w:t>
      </w:r>
    </w:p>
    <w:p w14:paraId="392947B0" w14:textId="77777777" w:rsidR="00502371" w:rsidRDefault="00502371" w:rsidP="00502371">
      <w:pPr>
        <w:jc w:val="both"/>
        <w:rPr>
          <w:rFonts w:ascii="Palatino Linotype" w:hAnsi="Palatino Linotype" w:cs="Arial"/>
        </w:rPr>
      </w:pPr>
    </w:p>
    <w:p w14:paraId="7962F8FA" w14:textId="4677373B" w:rsidR="008A41FD" w:rsidRPr="008A41FD" w:rsidRDefault="00502371" w:rsidP="008A41FD">
      <w:pPr>
        <w:jc w:val="both"/>
        <w:rPr>
          <w:rFonts w:ascii="Palatino Linotype" w:hAnsi="Palatino Linotype" w:cs="Arial"/>
          <w:lang w:val="es-CL"/>
        </w:rPr>
      </w:pPr>
      <w:r>
        <w:rPr>
          <w:rFonts w:ascii="Palatino Linotype" w:hAnsi="Palatino Linotype" w:cs="Arial"/>
        </w:rPr>
        <w:t xml:space="preserve">Otro mecanismo que estuvo por años presente en el DFL 4, y que suponía una fuente de ingresos para las IES, es el Aporte Fiscal Indirecto (AFI). </w:t>
      </w:r>
      <w:r>
        <w:rPr>
          <w:rFonts w:ascii="Palatino Linotype" w:hAnsi="Palatino Linotype" w:cs="Arial"/>
          <w:lang w:val="es-CL"/>
        </w:rPr>
        <w:t>Éste corresponde a</w:t>
      </w:r>
      <w:r w:rsidRPr="00502371">
        <w:rPr>
          <w:rFonts w:ascii="Palatino Linotype" w:hAnsi="Palatino Linotype" w:cs="Arial"/>
          <w:lang w:val="es-CL"/>
        </w:rPr>
        <w:t xml:space="preserve"> un aporte monetario asignado anualmente por el Estado de </w:t>
      </w:r>
      <w:r w:rsidRPr="0004366E">
        <w:rPr>
          <w:rFonts w:ascii="Palatino Linotype" w:hAnsi="Palatino Linotype" w:cs="Arial"/>
          <w:lang w:val="es-CL"/>
        </w:rPr>
        <w:t>Chile</w:t>
      </w:r>
      <w:r w:rsidRPr="00502371">
        <w:rPr>
          <w:rFonts w:ascii="Palatino Linotype" w:hAnsi="Palatino Linotype" w:cs="Arial"/>
          <w:lang w:val="es-CL"/>
        </w:rPr>
        <w:t xml:space="preserve"> a todas las </w:t>
      </w:r>
      <w:r>
        <w:rPr>
          <w:rFonts w:ascii="Palatino Linotype" w:hAnsi="Palatino Linotype" w:cs="Arial"/>
          <w:lang w:val="es-CL"/>
        </w:rPr>
        <w:t>IES</w:t>
      </w:r>
      <w:r w:rsidRPr="00502371">
        <w:rPr>
          <w:rFonts w:ascii="Palatino Linotype" w:hAnsi="Palatino Linotype" w:cs="Arial"/>
          <w:lang w:val="es-CL"/>
        </w:rPr>
        <w:t xml:space="preserve"> que admitan a los 27.500 mejores puntajes (en la </w:t>
      </w:r>
      <w:r w:rsidRPr="0004366E">
        <w:rPr>
          <w:rFonts w:ascii="Palatino Linotype" w:hAnsi="Palatino Linotype" w:cs="Arial"/>
          <w:lang w:val="es-CL"/>
        </w:rPr>
        <w:t>Prueba de Selección Universitaria</w:t>
      </w:r>
      <w:r w:rsidR="001403D1">
        <w:rPr>
          <w:rFonts w:ascii="Palatino Linotype" w:hAnsi="Palatino Linotype" w:cs="Arial"/>
          <w:lang w:val="es-CL"/>
        </w:rPr>
        <w:t xml:space="preserve"> (PSU)</w:t>
      </w:r>
      <w:r w:rsidRPr="00502371">
        <w:rPr>
          <w:rFonts w:ascii="Palatino Linotype" w:hAnsi="Palatino Linotype" w:cs="Arial"/>
          <w:lang w:val="es-CL"/>
        </w:rPr>
        <w:t>) de los alumnos matriculados en el primer año de estudios.</w:t>
      </w:r>
      <w:r w:rsidR="00AE78E6">
        <w:rPr>
          <w:rFonts w:ascii="Palatino Linotype" w:hAnsi="Palatino Linotype" w:cs="Arial"/>
          <w:vertAlign w:val="superscript"/>
          <w:lang w:val="es-CL"/>
        </w:rPr>
        <w:t xml:space="preserve"> </w:t>
      </w:r>
      <w:r w:rsidR="000D74CB">
        <w:rPr>
          <w:rFonts w:ascii="Palatino Linotype" w:hAnsi="Palatino Linotype" w:cs="Arial"/>
          <w:lang w:val="es-CL"/>
        </w:rPr>
        <w:t>No obstante, dicho aporte fue derogado en febrero de 2018, a tra</w:t>
      </w:r>
      <w:r w:rsidR="0004366E">
        <w:rPr>
          <w:rFonts w:ascii="Palatino Linotype" w:hAnsi="Palatino Linotype"/>
          <w:vanish/>
          <w:sz w:val="26"/>
          <w:szCs w:val="26"/>
          <w:lang w:val="es-ES"/>
        </w:rPr>
        <w:t>estanciamiento: estudiantes</w:t>
      </w:r>
      <w:r w:rsidR="0004366E">
        <w:rPr>
          <w:rFonts w:ascii="Palatino Linotype" w:hAnsi="Palatino Linotype"/>
          <w:vanish/>
          <w:sz w:val="26"/>
          <w:szCs w:val="26"/>
          <w:lang w:val="es-ES"/>
        </w:rPr>
        <w:cr/>
        <w:t>(PSU)rogado en febrero de 2018, a tracporte Fiscal Indirecto. uch)oucacifesionales y 59 mil a Centro</w:t>
      </w:r>
      <w:r w:rsidR="000D74CB">
        <w:rPr>
          <w:rFonts w:ascii="Palatino Linotype" w:hAnsi="Palatino Linotype" w:cs="Arial"/>
          <w:lang w:val="es-CL"/>
        </w:rPr>
        <w:t>vés de la Ley 21.072.</w:t>
      </w:r>
      <w:r w:rsidR="008A41FD">
        <w:rPr>
          <w:rFonts w:ascii="Palatino Linotype" w:hAnsi="Palatino Linotype" w:cs="Arial"/>
          <w:lang w:val="es-CL"/>
        </w:rPr>
        <w:t xml:space="preserve"> cabe mencionar que, transitoriamente, los IES que recibían este tipo de financiamiento, lo seguirán recibiendo durante 2018 y 2019.</w:t>
      </w:r>
    </w:p>
    <w:p w14:paraId="7A029E18" w14:textId="77777777" w:rsidR="008A41FD" w:rsidRDefault="008A41FD" w:rsidP="008A41FD">
      <w:pPr>
        <w:pStyle w:val="Ttulo3"/>
        <w:rPr>
          <w:rFonts w:ascii="Palatino Linotype" w:hAnsi="Palatino Linotype"/>
          <w:color w:val="auto"/>
          <w:sz w:val="26"/>
          <w:szCs w:val="26"/>
          <w:lang w:val="es-ES"/>
        </w:rPr>
      </w:pPr>
    </w:p>
    <w:p w14:paraId="7C9E59B7" w14:textId="77777777" w:rsidR="00F51C4B" w:rsidRDefault="00F51C4B" w:rsidP="008A41FD">
      <w:pPr>
        <w:pStyle w:val="Ttulo3"/>
        <w:rPr>
          <w:rFonts w:ascii="Palatino Linotype" w:hAnsi="Palatino Linotype"/>
          <w:color w:val="auto"/>
          <w:sz w:val="26"/>
          <w:szCs w:val="26"/>
          <w:lang w:val="es-ES"/>
        </w:rPr>
      </w:pPr>
    </w:p>
    <w:p w14:paraId="0831F948" w14:textId="77777777" w:rsidR="00FA02DE" w:rsidRDefault="00FA02DE" w:rsidP="00FA02DE"/>
    <w:p w14:paraId="6F612201" w14:textId="77777777" w:rsidR="000C7ECA" w:rsidRPr="00FA02DE" w:rsidRDefault="000C7ECA" w:rsidP="00FA02DE"/>
    <w:p w14:paraId="0034FED9" w14:textId="77777777" w:rsidR="00FA02DE" w:rsidRDefault="00FA02DE" w:rsidP="008A41FD">
      <w:pPr>
        <w:pStyle w:val="Ttulo3"/>
        <w:rPr>
          <w:rFonts w:ascii="Palatino Linotype" w:hAnsi="Palatino Linotype"/>
          <w:color w:val="auto"/>
          <w:sz w:val="26"/>
          <w:szCs w:val="26"/>
          <w:lang w:val="es-ES"/>
        </w:rPr>
      </w:pPr>
    </w:p>
    <w:p w14:paraId="63DAF574" w14:textId="64F69251" w:rsidR="0004366E" w:rsidRPr="008A41FD" w:rsidRDefault="0004366E" w:rsidP="008A41FD">
      <w:pPr>
        <w:pStyle w:val="Ttulo3"/>
        <w:rPr>
          <w:rFonts w:ascii="Palatino Linotype" w:hAnsi="Palatino Linotype"/>
          <w:color w:val="auto"/>
          <w:sz w:val="26"/>
          <w:szCs w:val="26"/>
          <w:lang w:val="es-ES"/>
        </w:rPr>
      </w:pP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bookmarkStart w:id="4" w:name="_Toc391553441"/>
      <w:r w:rsidR="005D2F79" w:rsidRPr="005D2F79">
        <w:rPr>
          <w:rFonts w:ascii="Palatino Linotype" w:hAnsi="Palatino Linotype"/>
          <w:color w:val="auto"/>
          <w:sz w:val="26"/>
          <w:szCs w:val="26"/>
          <w:lang w:val="es-ES"/>
        </w:rPr>
        <w:t xml:space="preserve">ii) </w:t>
      </w:r>
      <w:r w:rsidR="00945C29">
        <w:rPr>
          <w:rFonts w:ascii="Palatino Linotype" w:hAnsi="Palatino Linotype"/>
          <w:color w:val="auto"/>
          <w:sz w:val="26"/>
          <w:szCs w:val="26"/>
          <w:lang w:val="es-ES"/>
        </w:rPr>
        <w:t xml:space="preserve">Demanda por </w:t>
      </w:r>
      <w:r w:rsidR="008A41FD">
        <w:rPr>
          <w:rFonts w:ascii="Palatino Linotype" w:hAnsi="Palatino Linotype"/>
          <w:color w:val="auto"/>
          <w:sz w:val="26"/>
          <w:szCs w:val="26"/>
          <w:lang w:val="es-ES"/>
        </w:rPr>
        <w:t>financiamiento: estudiantes</w:t>
      </w:r>
      <w:bookmarkEnd w:id="4"/>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p>
    <w:p w14:paraId="25171B33" w14:textId="77777777" w:rsidR="008A41FD" w:rsidRDefault="008A41FD" w:rsidP="00441961">
      <w:pPr>
        <w:rPr>
          <w:rFonts w:ascii="Palatino Linotype" w:hAnsi="Palatino Linotype"/>
        </w:rPr>
      </w:pPr>
    </w:p>
    <w:p w14:paraId="21B53A83" w14:textId="7F9EA1F7" w:rsidR="008A41FD" w:rsidRDefault="008A41FD" w:rsidP="00E2417E">
      <w:pPr>
        <w:jc w:val="both"/>
        <w:rPr>
          <w:rFonts w:ascii="Palatino Linotype" w:hAnsi="Palatino Linotype"/>
        </w:rPr>
      </w:pPr>
      <w:r>
        <w:rPr>
          <w:rFonts w:ascii="Palatino Linotype" w:hAnsi="Palatino Linotype"/>
        </w:rPr>
        <w:t>Desde el punto de vista de quienes necesitan el financiamiento, los estudiantes, hay distintas maneras de acceder a las IES. En principio, se pueden distinguir cuatro formas por las cuales se pu</w:t>
      </w:r>
      <w:bookmarkStart w:id="5" w:name="_GoBack"/>
      <w:bookmarkEnd w:id="5"/>
      <w:r>
        <w:rPr>
          <w:rFonts w:ascii="Palatino Linotype" w:hAnsi="Palatino Linotype"/>
        </w:rPr>
        <w:t>ede financiar la educación superior: (i) gratuidad, (ii) becas, (iii) créditos y, por último (iv) fondos propios.</w:t>
      </w:r>
    </w:p>
    <w:p w14:paraId="2AB1E40E" w14:textId="77777777" w:rsidR="008A41FD" w:rsidRDefault="008A41FD" w:rsidP="00441961">
      <w:pPr>
        <w:rPr>
          <w:rFonts w:ascii="Palatino Linotype" w:hAnsi="Palatino Linotype"/>
        </w:rPr>
      </w:pPr>
    </w:p>
    <w:p w14:paraId="58EC3A7F" w14:textId="5E8B8D34" w:rsidR="008A41FD" w:rsidRPr="008A41FD" w:rsidRDefault="008A41FD" w:rsidP="008A41FD">
      <w:pPr>
        <w:pStyle w:val="Prrafodelista"/>
        <w:numPr>
          <w:ilvl w:val="0"/>
          <w:numId w:val="12"/>
        </w:numPr>
        <w:rPr>
          <w:rFonts w:ascii="Palatino Linotype" w:hAnsi="Palatino Linotype"/>
        </w:rPr>
      </w:pPr>
      <w:r w:rsidRPr="008A41FD">
        <w:rPr>
          <w:rFonts w:ascii="Palatino Linotype" w:hAnsi="Palatino Linotype"/>
        </w:rPr>
        <w:t>Gratuidad:</w:t>
      </w:r>
    </w:p>
    <w:p w14:paraId="4A853900" w14:textId="77777777" w:rsidR="00C9128F" w:rsidRDefault="00C9128F" w:rsidP="00C9128F">
      <w:pPr>
        <w:rPr>
          <w:rFonts w:ascii="Palatino Linotype" w:hAnsi="Palatino Linotype"/>
        </w:rPr>
      </w:pPr>
    </w:p>
    <w:p w14:paraId="16FE8753" w14:textId="1E4D0CD8" w:rsidR="008A41FD" w:rsidRDefault="00E2417E" w:rsidP="00C9128F">
      <w:pPr>
        <w:jc w:val="both"/>
        <w:rPr>
          <w:rFonts w:ascii="Palatino Linotype" w:hAnsi="Palatino Linotype"/>
        </w:rPr>
      </w:pPr>
      <w:r>
        <w:rPr>
          <w:rFonts w:ascii="Palatino Linotype" w:hAnsi="Palatino Linotype"/>
        </w:rPr>
        <w:t xml:space="preserve">La gratuidad se hizo realidad el año 2018, a través de la </w:t>
      </w:r>
      <w:r w:rsidR="00C9128F">
        <w:rPr>
          <w:rFonts w:ascii="Palatino Linotype" w:hAnsi="Palatino Linotype"/>
        </w:rPr>
        <w:t xml:space="preserve">promulgación de la </w:t>
      </w:r>
      <w:r>
        <w:rPr>
          <w:rFonts w:ascii="Palatino Linotype" w:hAnsi="Palatino Linotype"/>
        </w:rPr>
        <w:t xml:space="preserve">Ley </w:t>
      </w:r>
      <w:r w:rsidR="0054200F">
        <w:rPr>
          <w:rFonts w:ascii="Palatino Linotype" w:hAnsi="Palatino Linotype"/>
        </w:rPr>
        <w:t xml:space="preserve">Nº </w:t>
      </w:r>
      <w:r w:rsidR="00C9128F">
        <w:rPr>
          <w:rFonts w:ascii="Palatino Linotype" w:hAnsi="Palatino Linotype"/>
        </w:rPr>
        <w:t>21.091. De acuerdo a la Ley, los estudiantes pertenecientes a familias que estén en el 60%</w:t>
      </w:r>
      <w:r w:rsidR="0030226F">
        <w:rPr>
          <w:rStyle w:val="Refdenotaalpie"/>
          <w:rFonts w:ascii="Palatino Linotype" w:hAnsi="Palatino Linotype"/>
        </w:rPr>
        <w:footnoteReference w:id="3"/>
      </w:r>
      <w:r w:rsidR="00C9128F">
        <w:rPr>
          <w:rFonts w:ascii="Palatino Linotype" w:hAnsi="Palatino Linotype"/>
        </w:rPr>
        <w:t xml:space="preserve"> de menores ingresos de la población, y que estudien en instituciones adscritas a este beneficio, no deberán pagar el arancel ni la matrícula durante la duración formal de la carrera. </w:t>
      </w:r>
    </w:p>
    <w:p w14:paraId="73E89B59" w14:textId="33C5D0D7" w:rsidR="00C9128F" w:rsidRDefault="00C9128F" w:rsidP="00C9128F">
      <w:pPr>
        <w:jc w:val="both"/>
        <w:rPr>
          <w:rFonts w:ascii="Palatino Linotype" w:hAnsi="Palatino Linotype"/>
        </w:rPr>
      </w:pPr>
      <w:r>
        <w:rPr>
          <w:rFonts w:ascii="Palatino Linotype" w:hAnsi="Palatino Linotype"/>
        </w:rPr>
        <w:t>Para determinar la clasificación socioeconómica de los estudiantes, se considera la información entregada por los jóvenes a través del Formulario Único de Acreditación Socioeconómica (FUAS) al Ministerio de Educación</w:t>
      </w:r>
      <w:r w:rsidR="00A15C7B">
        <w:rPr>
          <w:rFonts w:ascii="Palatino Linotype" w:hAnsi="Palatino Linotype"/>
        </w:rPr>
        <w:t xml:space="preserve"> (Mineduc)</w:t>
      </w:r>
      <w:r>
        <w:rPr>
          <w:rFonts w:ascii="Palatino Linotype" w:hAnsi="Palatino Linotype"/>
        </w:rPr>
        <w:t>. Estos datos, por su parte, son posteriormente validados con las bases de datos de los distintos organismos del Estado, con tal de prevenir entregar este beneficio a personas que no cumplen con los requisitos.</w:t>
      </w:r>
    </w:p>
    <w:p w14:paraId="3FAC2174" w14:textId="6312F916" w:rsidR="0054200F" w:rsidRDefault="00AE18CD" w:rsidP="00C9128F">
      <w:pPr>
        <w:jc w:val="both"/>
        <w:rPr>
          <w:rFonts w:ascii="Palatino Linotype" w:hAnsi="Palatino Linotype"/>
        </w:rPr>
      </w:pPr>
      <w:r>
        <w:rPr>
          <w:rFonts w:ascii="Palatino Linotype" w:hAnsi="Palatino Linotype"/>
        </w:rPr>
        <w:t>Los requisitos</w:t>
      </w:r>
      <w:r w:rsidR="0054200F">
        <w:rPr>
          <w:rFonts w:ascii="Palatino Linotype" w:hAnsi="Palatino Linotype"/>
        </w:rPr>
        <w:t xml:space="preserve"> para que una IES sea elegible y pueda adscribirse al sistema de gratuidad se resumen en:</w:t>
      </w:r>
    </w:p>
    <w:p w14:paraId="38DA2C8A" w14:textId="5B92EEF9" w:rsidR="0054200F" w:rsidRPr="0054200F" w:rsidRDefault="00AE18CD" w:rsidP="0054200F">
      <w:pPr>
        <w:pStyle w:val="Prrafodelista"/>
        <w:numPr>
          <w:ilvl w:val="0"/>
          <w:numId w:val="15"/>
        </w:numPr>
        <w:jc w:val="both"/>
        <w:rPr>
          <w:rFonts w:ascii="Palatino Linotype" w:hAnsi="Palatino Linotype"/>
        </w:rPr>
      </w:pPr>
      <w:r>
        <w:rPr>
          <w:rFonts w:ascii="Palatino Linotype" w:hAnsi="Palatino Linotype"/>
        </w:rPr>
        <w:t>Requisitos para u</w:t>
      </w:r>
      <w:r w:rsidR="0054200F" w:rsidRPr="0054200F">
        <w:rPr>
          <w:rFonts w:ascii="Palatino Linotype" w:hAnsi="Palatino Linotype"/>
        </w:rPr>
        <w:t>niversidades:</w:t>
      </w:r>
    </w:p>
    <w:p w14:paraId="368C339F" w14:textId="1975ED8D" w:rsidR="0054200F" w:rsidRDefault="0054200F" w:rsidP="0054200F">
      <w:pPr>
        <w:pStyle w:val="Prrafodelista"/>
        <w:numPr>
          <w:ilvl w:val="1"/>
          <w:numId w:val="15"/>
        </w:numPr>
        <w:jc w:val="both"/>
        <w:rPr>
          <w:rFonts w:ascii="Palatino Linotype" w:hAnsi="Palatino Linotype"/>
        </w:rPr>
      </w:pPr>
      <w:r>
        <w:rPr>
          <w:rFonts w:ascii="Palatino Linotype" w:hAnsi="Palatino Linotype"/>
        </w:rPr>
        <w:t>Estatales</w:t>
      </w:r>
    </w:p>
    <w:p w14:paraId="70D794D7" w14:textId="508CE1F1" w:rsidR="0054200F" w:rsidRDefault="0054200F" w:rsidP="0054200F">
      <w:pPr>
        <w:pStyle w:val="Prrafodelista"/>
        <w:numPr>
          <w:ilvl w:val="1"/>
          <w:numId w:val="15"/>
        </w:numPr>
        <w:jc w:val="both"/>
        <w:rPr>
          <w:rFonts w:ascii="Palatino Linotype" w:hAnsi="Palatino Linotype"/>
        </w:rPr>
      </w:pPr>
      <w:r>
        <w:rPr>
          <w:rFonts w:ascii="Palatino Linotype" w:hAnsi="Palatino Linotype"/>
        </w:rPr>
        <w:t>Privadas no estatales fundadas con anterioridad a 1981.</w:t>
      </w:r>
    </w:p>
    <w:p w14:paraId="47796815" w14:textId="16C304C4" w:rsidR="00C9128F" w:rsidRDefault="0054200F" w:rsidP="00C9128F">
      <w:pPr>
        <w:pStyle w:val="Prrafodelista"/>
        <w:numPr>
          <w:ilvl w:val="1"/>
          <w:numId w:val="15"/>
        </w:numPr>
        <w:jc w:val="both"/>
        <w:rPr>
          <w:rFonts w:ascii="Palatino Linotype" w:hAnsi="Palatino Linotype"/>
          <w:lang w:val="es-CL"/>
        </w:rPr>
      </w:pPr>
      <w:r>
        <w:rPr>
          <w:rFonts w:ascii="Palatino Linotype" w:hAnsi="Palatino Linotype"/>
        </w:rPr>
        <w:t xml:space="preserve">Privadas  </w:t>
      </w:r>
      <w:r w:rsidRPr="0054200F">
        <w:rPr>
          <w:rFonts w:ascii="Palatino Linotype" w:hAnsi="Palatino Linotype"/>
          <w:lang w:val="es-CL"/>
        </w:rPr>
        <w:t>estén acreditadas al 31 de diciembre de 2017 por al menos cuatro años, que estén constituidas como personas jurídicas sin fines de lucro y, en caso de tener controlador o controladores, que éstos sean personas naturales o jurídicas sin fines de lucro.</w:t>
      </w:r>
    </w:p>
    <w:p w14:paraId="529A92AB" w14:textId="3776B590" w:rsidR="001403D1" w:rsidRDefault="001403D1" w:rsidP="001403D1">
      <w:pPr>
        <w:ind w:left="708"/>
        <w:jc w:val="both"/>
        <w:rPr>
          <w:rFonts w:ascii="Palatino Linotype" w:hAnsi="Palatino Linotype"/>
          <w:lang w:val="es-CL"/>
        </w:rPr>
      </w:pPr>
      <w:r>
        <w:rPr>
          <w:rFonts w:ascii="Palatino Linotype" w:hAnsi="Palatino Linotype"/>
          <w:lang w:val="es-CL"/>
        </w:rPr>
        <w:t>Además, al menos el 80% de sus alumnos</w:t>
      </w:r>
      <w:r w:rsidRPr="001403D1">
        <w:rPr>
          <w:rFonts w:ascii="Palatino Linotype" w:hAnsi="Palatino Linotype"/>
          <w:lang w:val="es-CL"/>
        </w:rPr>
        <w:t xml:space="preserve"> </w:t>
      </w:r>
      <w:r>
        <w:rPr>
          <w:rFonts w:ascii="Palatino Linotype" w:hAnsi="Palatino Linotype"/>
          <w:lang w:val="es-CL"/>
        </w:rPr>
        <w:t>de primer año matriculados, deberán contar con un puntaje en la PSU de al menos 450 puntos</w:t>
      </w:r>
      <w:r>
        <w:rPr>
          <w:rStyle w:val="Refdenotaalpie"/>
          <w:rFonts w:ascii="Palatino Linotype" w:hAnsi="Palatino Linotype"/>
          <w:lang w:val="es-CL"/>
        </w:rPr>
        <w:footnoteReference w:id="4"/>
      </w:r>
      <w:r>
        <w:rPr>
          <w:rFonts w:ascii="Palatino Linotype" w:hAnsi="Palatino Linotype"/>
          <w:lang w:val="es-CL"/>
        </w:rPr>
        <w:t xml:space="preserve">. Asimismo, las universidades </w:t>
      </w:r>
      <w:r w:rsidR="00CB55C4">
        <w:rPr>
          <w:rFonts w:ascii="Palatino Linotype" w:hAnsi="Palatino Linotype"/>
          <w:lang w:val="es-CL"/>
        </w:rPr>
        <w:t xml:space="preserve">privadas deberán estar adscritas al Sistema </w:t>
      </w:r>
      <w:r w:rsidR="00CB55C4">
        <w:rPr>
          <w:rFonts w:ascii="Palatino Linotype" w:hAnsi="Palatino Linotype"/>
          <w:lang w:val="es-CL"/>
        </w:rPr>
        <w:lastRenderedPageBreak/>
        <w:t xml:space="preserve">Único de Admisión (SUA) o bien contar con un sistema de admisión transparente, objetivo y que no implique discriminaciones arbitarias. </w:t>
      </w:r>
    </w:p>
    <w:p w14:paraId="17B5E09D" w14:textId="77777777" w:rsidR="00CB55C4" w:rsidRDefault="00CB55C4" w:rsidP="001403D1">
      <w:pPr>
        <w:ind w:left="708"/>
        <w:jc w:val="both"/>
        <w:rPr>
          <w:rFonts w:ascii="Palatino Linotype" w:hAnsi="Palatino Linotype"/>
          <w:lang w:val="es-CL"/>
        </w:rPr>
      </w:pPr>
    </w:p>
    <w:p w14:paraId="60201693" w14:textId="3218DADB" w:rsidR="00CB55C4" w:rsidRPr="00CB55C4" w:rsidRDefault="00AE18CD" w:rsidP="00CB55C4">
      <w:pPr>
        <w:pStyle w:val="Prrafodelista"/>
        <w:numPr>
          <w:ilvl w:val="0"/>
          <w:numId w:val="15"/>
        </w:numPr>
        <w:jc w:val="both"/>
        <w:rPr>
          <w:rFonts w:ascii="Palatino Linotype" w:hAnsi="Palatino Linotype"/>
          <w:lang w:val="es-CL"/>
        </w:rPr>
      </w:pPr>
      <w:r>
        <w:rPr>
          <w:rFonts w:ascii="Palatino Linotype" w:hAnsi="Palatino Linotype"/>
          <w:lang w:val="es-CL"/>
        </w:rPr>
        <w:t xml:space="preserve">Requisitos para </w:t>
      </w:r>
      <w:r w:rsidR="000555B1">
        <w:rPr>
          <w:rFonts w:ascii="Palatino Linotype" w:hAnsi="Palatino Linotype"/>
          <w:lang w:val="es-CL"/>
        </w:rPr>
        <w:t>I</w:t>
      </w:r>
      <w:r w:rsidR="00CB55C4" w:rsidRPr="00CB55C4">
        <w:rPr>
          <w:rFonts w:ascii="Palatino Linotype" w:hAnsi="Palatino Linotype"/>
          <w:lang w:val="es-CL"/>
        </w:rPr>
        <w:t>nstitutos Profesionales</w:t>
      </w:r>
      <w:r w:rsidR="000555B1">
        <w:rPr>
          <w:rFonts w:ascii="Palatino Linotype" w:hAnsi="Palatino Linotype"/>
          <w:lang w:val="es-CL"/>
        </w:rPr>
        <w:t xml:space="preserve"> (IP)</w:t>
      </w:r>
      <w:r w:rsidR="00CB55C4" w:rsidRPr="00CB55C4">
        <w:rPr>
          <w:rFonts w:ascii="Palatino Linotype" w:hAnsi="Palatino Linotype"/>
          <w:lang w:val="es-CL"/>
        </w:rPr>
        <w:t xml:space="preserve"> y Centros de Formación Técnica</w:t>
      </w:r>
      <w:r w:rsidR="000555B1">
        <w:rPr>
          <w:rFonts w:ascii="Palatino Linotype" w:hAnsi="Palatino Linotype"/>
          <w:lang w:val="es-CL"/>
        </w:rPr>
        <w:t xml:space="preserve"> (CFT)</w:t>
      </w:r>
    </w:p>
    <w:p w14:paraId="15F42065" w14:textId="7A41A26C" w:rsidR="00CB55C4" w:rsidRDefault="00CB55C4" w:rsidP="00CB55C4">
      <w:pPr>
        <w:pStyle w:val="Prrafodelista"/>
        <w:numPr>
          <w:ilvl w:val="1"/>
          <w:numId w:val="15"/>
        </w:numPr>
        <w:jc w:val="both"/>
        <w:rPr>
          <w:rFonts w:ascii="Palatino Linotype" w:hAnsi="Palatino Linotype"/>
          <w:lang w:val="es-CL"/>
        </w:rPr>
      </w:pPr>
      <w:r>
        <w:rPr>
          <w:rFonts w:ascii="Palatino Linotype" w:hAnsi="Palatino Linotype"/>
          <w:lang w:val="es-CL"/>
        </w:rPr>
        <w:t>Estar acreditad</w:t>
      </w:r>
      <w:r w:rsidR="00AE18CD">
        <w:rPr>
          <w:rFonts w:ascii="Palatino Linotype" w:hAnsi="Palatino Linotype"/>
          <w:lang w:val="es-CL"/>
        </w:rPr>
        <w:t>o</w:t>
      </w:r>
      <w:r>
        <w:rPr>
          <w:rFonts w:ascii="Palatino Linotype" w:hAnsi="Palatino Linotype"/>
          <w:lang w:val="es-CL"/>
        </w:rPr>
        <w:t>s al 31 de diciembre de 2017 por al menos cuatro años.</w:t>
      </w:r>
    </w:p>
    <w:p w14:paraId="3BF40685" w14:textId="271533A9" w:rsidR="00CB55C4" w:rsidRDefault="00AE18CD" w:rsidP="00CB55C4">
      <w:pPr>
        <w:pStyle w:val="Prrafodelista"/>
        <w:numPr>
          <w:ilvl w:val="1"/>
          <w:numId w:val="15"/>
        </w:numPr>
        <w:jc w:val="both"/>
        <w:rPr>
          <w:rFonts w:ascii="Palatino Linotype" w:hAnsi="Palatino Linotype"/>
          <w:lang w:val="es-CL"/>
        </w:rPr>
      </w:pPr>
      <w:r>
        <w:rPr>
          <w:rFonts w:ascii="Palatino Linotype" w:hAnsi="Palatino Linotype"/>
          <w:lang w:val="es-CL"/>
        </w:rPr>
        <w:t>Estar constituidos como personas jurídicas sin fines de lucro o, en caso de tener controlador o controladores, que éstos sean personas naturales o jurídicas sin fines de lucro</w:t>
      </w:r>
    </w:p>
    <w:p w14:paraId="7DD9C987" w14:textId="7E71F1A3" w:rsidR="00AE18CD" w:rsidRDefault="00AE18CD" w:rsidP="00CB55C4">
      <w:pPr>
        <w:pStyle w:val="Prrafodelista"/>
        <w:numPr>
          <w:ilvl w:val="1"/>
          <w:numId w:val="15"/>
        </w:numPr>
        <w:jc w:val="both"/>
        <w:rPr>
          <w:rFonts w:ascii="Palatino Linotype" w:hAnsi="Palatino Linotype"/>
          <w:lang w:val="es-CL"/>
        </w:rPr>
      </w:pPr>
      <w:r>
        <w:rPr>
          <w:rFonts w:ascii="Palatino Linotype" w:hAnsi="Palatino Linotype"/>
          <w:lang w:val="es-CL"/>
        </w:rPr>
        <w:t>En</w:t>
      </w:r>
      <w:r w:rsidR="00920D53">
        <w:rPr>
          <w:rFonts w:ascii="Palatino Linotype" w:hAnsi="Palatino Linotype"/>
          <w:lang w:val="es-CL"/>
        </w:rPr>
        <w:t xml:space="preserve"> el caso de instituciones con fines de lucro, éstas deberán haber manifestado al Ministerio de Educación su compromiso de transformación a entidades sin fines de lucro, de acuerdo a lo que establezca la Ley.</w:t>
      </w:r>
    </w:p>
    <w:p w14:paraId="3BC4367A" w14:textId="27EB5ED5" w:rsidR="00920D53" w:rsidRPr="00920D53" w:rsidRDefault="00920D53" w:rsidP="00920D53">
      <w:pPr>
        <w:ind w:left="708"/>
        <w:jc w:val="both"/>
        <w:rPr>
          <w:rFonts w:ascii="Palatino Linotype" w:hAnsi="Palatino Linotype"/>
          <w:lang w:val="es-CL"/>
        </w:rPr>
      </w:pPr>
      <w:r>
        <w:rPr>
          <w:rFonts w:ascii="Palatino Linotype" w:hAnsi="Palatino Linotype"/>
          <w:lang w:val="es-CL"/>
        </w:rPr>
        <w:t xml:space="preserve">Además, los IP y CFT deberán </w:t>
      </w:r>
      <w:r w:rsidRPr="00920D53">
        <w:rPr>
          <w:rFonts w:ascii="Palatino Linotype" w:hAnsi="Palatino Linotype"/>
          <w:lang w:val="es-CL"/>
        </w:rPr>
        <w:t>contar con un sistema de admisión transparente, objetivo y pertinente, que no implique discriminaciones arbitrarias, y favorezca a estudiantes egresados de establecimientos de enseñanza media técnico-profesional y a trabajadores del área.</w:t>
      </w:r>
    </w:p>
    <w:p w14:paraId="2F9A38E3" w14:textId="77777777" w:rsidR="00C9128F" w:rsidRDefault="00C9128F" w:rsidP="00A15C7B">
      <w:pPr>
        <w:rPr>
          <w:rFonts w:ascii="Palatino Linotype" w:hAnsi="Palatino Linotype"/>
          <w:lang w:val="es-CL"/>
        </w:rPr>
      </w:pPr>
    </w:p>
    <w:p w14:paraId="0747489E" w14:textId="3833DE6B" w:rsidR="00A15C7B" w:rsidRPr="00A15C7B" w:rsidRDefault="00A15C7B" w:rsidP="00A15C7B">
      <w:pPr>
        <w:pStyle w:val="Prrafodelista"/>
        <w:numPr>
          <w:ilvl w:val="0"/>
          <w:numId w:val="12"/>
        </w:numPr>
        <w:rPr>
          <w:rFonts w:ascii="Palatino Linotype" w:hAnsi="Palatino Linotype"/>
        </w:rPr>
      </w:pPr>
      <w:r w:rsidRPr="00A15C7B">
        <w:rPr>
          <w:rFonts w:ascii="Palatino Linotype" w:hAnsi="Palatino Linotype"/>
        </w:rPr>
        <w:t>Becas</w:t>
      </w:r>
    </w:p>
    <w:p w14:paraId="7086EFE0" w14:textId="77777777" w:rsidR="00A15C7B" w:rsidRDefault="00A15C7B" w:rsidP="00A15C7B">
      <w:pPr>
        <w:rPr>
          <w:rFonts w:ascii="Palatino Linotype" w:hAnsi="Palatino Linotype"/>
        </w:rPr>
      </w:pPr>
    </w:p>
    <w:p w14:paraId="03AD5080" w14:textId="2955697A" w:rsidR="00A15C7B" w:rsidRDefault="00A15C7B" w:rsidP="00E9090B">
      <w:pPr>
        <w:jc w:val="both"/>
        <w:rPr>
          <w:rFonts w:ascii="Palatino Linotype" w:hAnsi="Palatino Linotype"/>
        </w:rPr>
      </w:pPr>
      <w:r>
        <w:rPr>
          <w:rFonts w:ascii="Palatino Linotype" w:hAnsi="Palatino Linotype"/>
        </w:rPr>
        <w:t xml:space="preserve">Las becas, a diferencia de la gratuidad, </w:t>
      </w:r>
      <w:r w:rsidR="00E9090B">
        <w:rPr>
          <w:rFonts w:ascii="Palatino Linotype" w:hAnsi="Palatino Linotype"/>
        </w:rPr>
        <w:t>son</w:t>
      </w:r>
      <w:r>
        <w:rPr>
          <w:rFonts w:ascii="Palatino Linotype" w:hAnsi="Palatino Linotype"/>
        </w:rPr>
        <w:t xml:space="preserve"> un apoyo económico que entrega el Mineduc</w:t>
      </w:r>
      <w:r w:rsidR="00E9090B">
        <w:rPr>
          <w:rFonts w:ascii="Palatino Linotype" w:hAnsi="Palatino Linotype"/>
        </w:rPr>
        <w:t xml:space="preserve"> para que los estudiantes puedan financiar parte del costo de sus estudios, cubriendo el total o parte del arancel anual de la carrera y, en algunos casos, la matrícula. Estos recursos son entregados directamente a las IES, no a los estudiantes. A continuación, se muestra un listado</w:t>
      </w:r>
      <w:r w:rsidR="00280BC8">
        <w:rPr>
          <w:rFonts w:ascii="Palatino Linotype" w:hAnsi="Palatino Linotype"/>
        </w:rPr>
        <w:t xml:space="preserve"> </w:t>
      </w:r>
      <w:r w:rsidR="00E9090B">
        <w:rPr>
          <w:rFonts w:ascii="Palatino Linotype" w:hAnsi="Palatino Linotype"/>
        </w:rPr>
        <w:t>de las becas a las cuales se puede acceder a través del Mineduc</w:t>
      </w:r>
      <w:r w:rsidR="00E9090B">
        <w:rPr>
          <w:rStyle w:val="Refdenotaalpie"/>
          <w:rFonts w:ascii="Palatino Linotype" w:hAnsi="Palatino Linotype"/>
        </w:rPr>
        <w:footnoteReference w:id="5"/>
      </w:r>
      <w:r w:rsidR="00E9090B">
        <w:rPr>
          <w:rFonts w:ascii="Palatino Linotype" w:hAnsi="Palatino Linotype"/>
        </w:rPr>
        <w:t>:</w:t>
      </w:r>
    </w:p>
    <w:p w14:paraId="5FBB8B06" w14:textId="1CAB0B1A" w:rsidR="00E9090B" w:rsidRPr="00280BC8" w:rsidRDefault="00280BC8" w:rsidP="00280BC8">
      <w:pPr>
        <w:pStyle w:val="Prrafodelista"/>
        <w:numPr>
          <w:ilvl w:val="0"/>
          <w:numId w:val="16"/>
        </w:numPr>
        <w:jc w:val="both"/>
        <w:rPr>
          <w:rFonts w:ascii="Palatino Linotype" w:hAnsi="Palatino Linotype"/>
        </w:rPr>
      </w:pPr>
      <w:r w:rsidRPr="00280BC8">
        <w:rPr>
          <w:rFonts w:ascii="Palatino Linotype" w:hAnsi="Palatino Linotype"/>
        </w:rPr>
        <w:t>Beca bicentenario:</w:t>
      </w:r>
    </w:p>
    <w:p w14:paraId="1640CEBE" w14:textId="30A2F1F7"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nuevo milenio</w:t>
      </w:r>
    </w:p>
    <w:p w14:paraId="4CBC4044" w14:textId="76816017"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Juan Gómez Millas</w:t>
      </w:r>
    </w:p>
    <w:p w14:paraId="50D0D4D2" w14:textId="193AA216"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vocación de profesor – pedagogías</w:t>
      </w:r>
    </w:p>
    <w:p w14:paraId="2D2B3AA6" w14:textId="7B5CA874"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vocación de profesor – licenciaturas</w:t>
      </w:r>
    </w:p>
    <w:p w14:paraId="68CCFDA2" w14:textId="2CB76A58"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puntaje PSU</w:t>
      </w:r>
    </w:p>
    <w:p w14:paraId="137783B8" w14:textId="1BB5BFB7"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excelencia académica</w:t>
      </w:r>
    </w:p>
    <w:p w14:paraId="2827D8D2" w14:textId="47F8B505"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excelencia técnica</w:t>
      </w:r>
    </w:p>
    <w:p w14:paraId="51370CF3" w14:textId="58CB991B"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para hijos de profesionales de la educación</w:t>
      </w:r>
    </w:p>
    <w:p w14:paraId="6DF523D3" w14:textId="7A9D6B5B"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de articulación</w:t>
      </w:r>
    </w:p>
    <w:p w14:paraId="17DFAA85" w14:textId="5EE41D03" w:rsidR="00280BC8" w:rsidRDefault="00280BC8" w:rsidP="00280BC8">
      <w:pPr>
        <w:pStyle w:val="Prrafodelista"/>
        <w:numPr>
          <w:ilvl w:val="0"/>
          <w:numId w:val="16"/>
        </w:numPr>
        <w:jc w:val="both"/>
        <w:rPr>
          <w:rFonts w:ascii="Palatino Linotype" w:hAnsi="Palatino Linotype"/>
        </w:rPr>
      </w:pPr>
      <w:r>
        <w:rPr>
          <w:rFonts w:ascii="Palatino Linotype" w:hAnsi="Palatino Linotype"/>
        </w:rPr>
        <w:lastRenderedPageBreak/>
        <w:t>Beca de reubicación de la Universidad Arcis</w:t>
      </w:r>
    </w:p>
    <w:p w14:paraId="42A64AEA" w14:textId="04DCA120"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de reubicación de la Universidad Iberoamericana</w:t>
      </w:r>
    </w:p>
    <w:p w14:paraId="72ADDC89" w14:textId="68A7A148"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 de reubicación de la Universidad del Mar</w:t>
      </w:r>
    </w:p>
    <w:p w14:paraId="7039DD02" w14:textId="655F6B96" w:rsidR="00280BC8" w:rsidRDefault="00280BC8" w:rsidP="00280BC8">
      <w:pPr>
        <w:pStyle w:val="Prrafodelista"/>
        <w:numPr>
          <w:ilvl w:val="0"/>
          <w:numId w:val="16"/>
        </w:numPr>
        <w:jc w:val="both"/>
        <w:rPr>
          <w:rFonts w:ascii="Palatino Linotype" w:hAnsi="Palatino Linotype"/>
        </w:rPr>
      </w:pPr>
      <w:r>
        <w:rPr>
          <w:rFonts w:ascii="Palatino Linotype" w:hAnsi="Palatino Linotype"/>
        </w:rPr>
        <w:t>Becas de reparación</w:t>
      </w:r>
      <w:r w:rsidR="000524D9">
        <w:rPr>
          <w:rFonts w:ascii="Palatino Linotype" w:hAnsi="Palatino Linotype"/>
        </w:rPr>
        <w:t xml:space="preserve"> (Informe Valech)</w:t>
      </w:r>
    </w:p>
    <w:p w14:paraId="72287F47" w14:textId="4127C7E6" w:rsidR="00280BC8" w:rsidRDefault="000524D9" w:rsidP="00280BC8">
      <w:pPr>
        <w:pStyle w:val="Prrafodelista"/>
        <w:numPr>
          <w:ilvl w:val="0"/>
          <w:numId w:val="16"/>
        </w:numPr>
        <w:jc w:val="both"/>
        <w:rPr>
          <w:rFonts w:ascii="Palatino Linotype" w:hAnsi="Palatino Linotype"/>
        </w:rPr>
      </w:pPr>
      <w:r>
        <w:rPr>
          <w:rFonts w:ascii="Palatino Linotype" w:hAnsi="Palatino Linotype"/>
        </w:rPr>
        <w:t>Beca Juan Gómez Millas para estudiantes extranjeros</w:t>
      </w:r>
    </w:p>
    <w:p w14:paraId="0BF13FC3" w14:textId="699E2168" w:rsidR="000524D9" w:rsidRDefault="000524D9" w:rsidP="00280BC8">
      <w:pPr>
        <w:pStyle w:val="Prrafodelista"/>
        <w:numPr>
          <w:ilvl w:val="0"/>
          <w:numId w:val="16"/>
        </w:numPr>
        <w:jc w:val="both"/>
        <w:rPr>
          <w:rFonts w:ascii="Palatino Linotype" w:hAnsi="Palatino Linotype"/>
        </w:rPr>
      </w:pPr>
      <w:r>
        <w:rPr>
          <w:rFonts w:ascii="Palatino Linotype" w:hAnsi="Palatino Linotype"/>
        </w:rPr>
        <w:t>Becas para estudiantes en situación de discapacidad</w:t>
      </w:r>
    </w:p>
    <w:p w14:paraId="35FA97CB" w14:textId="7BFB6D71" w:rsidR="000524D9" w:rsidRDefault="000524D9" w:rsidP="00280BC8">
      <w:pPr>
        <w:pStyle w:val="Prrafodelista"/>
        <w:numPr>
          <w:ilvl w:val="0"/>
          <w:numId w:val="16"/>
        </w:numPr>
        <w:jc w:val="both"/>
        <w:rPr>
          <w:rFonts w:ascii="Palatino Linotype" w:hAnsi="Palatino Linotype"/>
        </w:rPr>
      </w:pPr>
      <w:r>
        <w:rPr>
          <w:rFonts w:ascii="Palatino Linotype" w:hAnsi="Palatino Linotype"/>
        </w:rPr>
        <w:t>Beca de apoyo al norte de Chile</w:t>
      </w:r>
    </w:p>
    <w:p w14:paraId="3A18316C" w14:textId="7F7D2797" w:rsidR="000524D9" w:rsidRDefault="000524D9" w:rsidP="00280BC8">
      <w:pPr>
        <w:pStyle w:val="Prrafodelista"/>
        <w:numPr>
          <w:ilvl w:val="0"/>
          <w:numId w:val="16"/>
        </w:numPr>
        <w:jc w:val="both"/>
        <w:rPr>
          <w:rFonts w:ascii="Palatino Linotype" w:hAnsi="Palatino Linotype"/>
        </w:rPr>
      </w:pPr>
      <w:r>
        <w:rPr>
          <w:rFonts w:ascii="Palatino Linotype" w:hAnsi="Palatino Linotype"/>
        </w:rPr>
        <w:t>Beca de alimentación</w:t>
      </w:r>
    </w:p>
    <w:p w14:paraId="672988E2" w14:textId="77777777" w:rsidR="00635944" w:rsidRDefault="00635944" w:rsidP="00635944">
      <w:pPr>
        <w:jc w:val="both"/>
        <w:rPr>
          <w:rFonts w:ascii="Palatino Linotype" w:hAnsi="Palatino Linotype"/>
        </w:rPr>
      </w:pPr>
    </w:p>
    <w:p w14:paraId="663619D1" w14:textId="16CCEF87" w:rsidR="00635944" w:rsidRPr="00635944" w:rsidRDefault="00635944" w:rsidP="00635944">
      <w:pPr>
        <w:pStyle w:val="Prrafodelista"/>
        <w:numPr>
          <w:ilvl w:val="0"/>
          <w:numId w:val="12"/>
        </w:numPr>
        <w:jc w:val="both"/>
        <w:rPr>
          <w:rFonts w:ascii="Palatino Linotype" w:hAnsi="Palatino Linotype"/>
        </w:rPr>
      </w:pPr>
      <w:r w:rsidRPr="00635944">
        <w:rPr>
          <w:rFonts w:ascii="Palatino Linotype" w:hAnsi="Palatino Linotype"/>
        </w:rPr>
        <w:t>Créditos</w:t>
      </w:r>
    </w:p>
    <w:p w14:paraId="2EDD9814" w14:textId="77777777" w:rsidR="00635944" w:rsidRDefault="00635944" w:rsidP="00635944">
      <w:pPr>
        <w:jc w:val="both"/>
        <w:rPr>
          <w:rFonts w:ascii="Palatino Linotype" w:hAnsi="Palatino Linotype"/>
        </w:rPr>
      </w:pPr>
    </w:p>
    <w:p w14:paraId="3FBB894E" w14:textId="1353965E" w:rsidR="00635944" w:rsidRDefault="00635944" w:rsidP="00635944">
      <w:pPr>
        <w:jc w:val="both"/>
        <w:rPr>
          <w:rFonts w:ascii="Palatino Linotype" w:hAnsi="Palatino Linotype"/>
        </w:rPr>
      </w:pPr>
      <w:r>
        <w:rPr>
          <w:rFonts w:ascii="Palatino Linotype" w:hAnsi="Palatino Linotype"/>
        </w:rPr>
        <w:t xml:space="preserve">Los créditos universitarios </w:t>
      </w:r>
      <w:r w:rsidR="006276FC">
        <w:rPr>
          <w:rFonts w:ascii="Palatino Linotype" w:hAnsi="Palatino Linotype"/>
        </w:rPr>
        <w:t>son préstamos que ayudan a cubrir parte del costo de los estudios. Son otorgados por el Estado (en el caso del crédito con Fondo Solidario de Crédito Universitario (FSCU)) o bien a través de una institución financiera. En este último caso, se puede acceder al beneficio estatal del Crédito con Aval del Estado (CAE), en el que el Estado se hace aval en el contrato entre la institución financiera y el estudiante. Tanto en el caso del FSCU como del CAE, se financia, como máximo, el arancel de referencia de la carrera, el cual generalmente es inferior al arancel real.</w:t>
      </w:r>
      <w:r w:rsidR="00A8431F">
        <w:rPr>
          <w:rFonts w:ascii="Palatino Linotype" w:hAnsi="Palatino Linotype"/>
        </w:rPr>
        <w:t xml:space="preserve"> A continuación, se hace una descripción de los dos sistemas de créditos para </w:t>
      </w:r>
      <w:r w:rsidR="0030226F">
        <w:rPr>
          <w:rFonts w:ascii="Palatino Linotype" w:hAnsi="Palatino Linotype"/>
        </w:rPr>
        <w:t>cursar estudios superiores</w:t>
      </w:r>
      <w:r w:rsidR="00A8431F">
        <w:rPr>
          <w:rFonts w:ascii="Palatino Linotype" w:hAnsi="Palatino Linotype"/>
        </w:rPr>
        <w:t>: FSCU y CAE.</w:t>
      </w:r>
    </w:p>
    <w:p w14:paraId="2319E116" w14:textId="77777777" w:rsidR="006276FC" w:rsidRDefault="006276FC" w:rsidP="00635944">
      <w:pPr>
        <w:jc w:val="both"/>
        <w:rPr>
          <w:rFonts w:ascii="Palatino Linotype" w:hAnsi="Palatino Linotype"/>
        </w:rPr>
      </w:pPr>
    </w:p>
    <w:p w14:paraId="39EBAFAE" w14:textId="5E073A44" w:rsidR="006276FC" w:rsidRDefault="006276FC" w:rsidP="006276FC">
      <w:pPr>
        <w:pStyle w:val="Prrafodelista"/>
        <w:numPr>
          <w:ilvl w:val="0"/>
          <w:numId w:val="17"/>
        </w:numPr>
        <w:jc w:val="both"/>
        <w:rPr>
          <w:rFonts w:ascii="Palatino Linotype" w:hAnsi="Palatino Linotype"/>
        </w:rPr>
      </w:pPr>
      <w:r>
        <w:rPr>
          <w:rFonts w:ascii="Palatino Linotype" w:hAnsi="Palatino Linotype"/>
        </w:rPr>
        <w:t>Fondo Solidario del Crédito Universitario (FSCU)</w:t>
      </w:r>
    </w:p>
    <w:p w14:paraId="0E8AAD26" w14:textId="77777777" w:rsidR="0039174D" w:rsidRDefault="0039174D" w:rsidP="006276FC">
      <w:pPr>
        <w:ind w:left="708"/>
        <w:jc w:val="both"/>
        <w:rPr>
          <w:rFonts w:ascii="Palatino Linotype" w:hAnsi="Palatino Linotype"/>
        </w:rPr>
      </w:pPr>
    </w:p>
    <w:p w14:paraId="34FACB67" w14:textId="372BD4EC" w:rsidR="0039174D" w:rsidRDefault="006276FC" w:rsidP="0039174D">
      <w:pPr>
        <w:ind w:left="708"/>
        <w:jc w:val="both"/>
        <w:rPr>
          <w:rFonts w:ascii="Palatino Linotype" w:hAnsi="Palatino Linotype"/>
          <w:lang w:val="es-CL"/>
        </w:rPr>
      </w:pPr>
      <w:r>
        <w:rPr>
          <w:rFonts w:ascii="Palatino Linotype" w:hAnsi="Palatino Linotype"/>
        </w:rPr>
        <w:t>Es un beneficio que se otorga a los estudiantes de las universidades del Cruch</w:t>
      </w:r>
      <w:r w:rsidR="0030226F">
        <w:rPr>
          <w:rFonts w:ascii="Palatino Linotype" w:hAnsi="Palatino Linotype"/>
        </w:rPr>
        <w:t>, que pertenecen al 80% más vulnerable de la población</w:t>
      </w:r>
      <w:r>
        <w:rPr>
          <w:rFonts w:ascii="Palatino Linotype" w:hAnsi="Palatino Linotype"/>
        </w:rPr>
        <w:t xml:space="preserve">. Específicamente, es un crédito otorgado en </w:t>
      </w:r>
      <w:r w:rsidR="00D72A29">
        <w:rPr>
          <w:rFonts w:ascii="Palatino Linotype" w:hAnsi="Palatino Linotype"/>
        </w:rPr>
        <w:t>Unidades Tributarias Mensuales (</w:t>
      </w:r>
      <w:r>
        <w:rPr>
          <w:rFonts w:ascii="Palatino Linotype" w:hAnsi="Palatino Linotype"/>
        </w:rPr>
        <w:t>UTM</w:t>
      </w:r>
      <w:r w:rsidR="00D72A29">
        <w:rPr>
          <w:rFonts w:ascii="Palatino Linotype" w:hAnsi="Palatino Linotype"/>
        </w:rPr>
        <w:t>)</w:t>
      </w:r>
      <w:r>
        <w:rPr>
          <w:rFonts w:ascii="Palatino Linotype" w:hAnsi="Palatino Linotype"/>
        </w:rPr>
        <w:t xml:space="preserve"> con una tasa de interés anual del 2%. Se comienza a cancelar después de dos años de haber egresado, pagando una suma equivalente al 5% del total de ingresos que el beneficiado haya obtenido el año anterior. Este crédito es compatible con </w:t>
      </w:r>
      <w:r w:rsidRPr="006276FC">
        <w:rPr>
          <w:rFonts w:ascii="Palatino Linotype" w:hAnsi="Palatino Linotype"/>
          <w:lang w:val="es-CL"/>
        </w:rPr>
        <w:t xml:space="preserve">cualquiera de las becas de arancel del Mineduc, hasta un monto máximo determinado por el arancel de referencia de la carrera. También puede complementarse con el </w:t>
      </w:r>
      <w:r w:rsidR="0039174D">
        <w:rPr>
          <w:rFonts w:ascii="Palatino Linotype" w:hAnsi="Palatino Linotype"/>
          <w:lang w:val="es-CL"/>
        </w:rPr>
        <w:t>CAE</w:t>
      </w:r>
      <w:r w:rsidRPr="006276FC">
        <w:rPr>
          <w:rFonts w:ascii="Palatino Linotype" w:hAnsi="Palatino Linotype"/>
          <w:lang w:val="es-CL"/>
        </w:rPr>
        <w:t>, permitiendo financiar entre ambos beneficios el arancel total de la carrera. Las excepciones son las becas Vocación de Profesor y Reparación, que no pueden complementarse con el Fondo Solidario.</w:t>
      </w:r>
      <w:r w:rsidR="0039174D">
        <w:rPr>
          <w:rFonts w:ascii="Palatino Linotype" w:hAnsi="Palatino Linotype"/>
          <w:lang w:val="es-CL"/>
        </w:rPr>
        <w:t xml:space="preserve"> </w:t>
      </w:r>
      <w:r w:rsidR="0039174D" w:rsidRPr="0039174D">
        <w:rPr>
          <w:rFonts w:ascii="Palatino Linotype" w:hAnsi="Palatino Linotype"/>
          <w:lang w:val="es-CL"/>
        </w:rPr>
        <w:t>El plazo máximo de devolución es de 12 años, en general, o de 15 años en caso de que la deuda sea superior a 200 UTM</w:t>
      </w:r>
      <w:r w:rsidR="0039174D">
        <w:rPr>
          <w:rStyle w:val="Refdenotaalpie"/>
          <w:rFonts w:ascii="Palatino Linotype" w:hAnsi="Palatino Linotype"/>
          <w:lang w:val="es-CL"/>
        </w:rPr>
        <w:footnoteReference w:id="6"/>
      </w:r>
      <w:r w:rsidR="0039174D" w:rsidRPr="0039174D">
        <w:rPr>
          <w:rFonts w:ascii="Palatino Linotype" w:hAnsi="Palatino Linotype"/>
          <w:lang w:val="es-CL"/>
        </w:rPr>
        <w:t>.</w:t>
      </w:r>
    </w:p>
    <w:p w14:paraId="61485271" w14:textId="77777777" w:rsidR="002E250B" w:rsidRPr="0039174D" w:rsidRDefault="002E250B" w:rsidP="0039174D">
      <w:pPr>
        <w:ind w:left="708"/>
        <w:jc w:val="both"/>
        <w:rPr>
          <w:rFonts w:ascii="Palatino Linotype" w:hAnsi="Palatino Linotype"/>
          <w:lang w:val="es-CL"/>
        </w:rPr>
      </w:pPr>
    </w:p>
    <w:p w14:paraId="4BAF7B32" w14:textId="1B1991A5" w:rsidR="006276FC" w:rsidRDefault="006276FC" w:rsidP="006276FC">
      <w:pPr>
        <w:ind w:left="708"/>
        <w:jc w:val="both"/>
        <w:rPr>
          <w:rFonts w:ascii="Palatino Linotype" w:hAnsi="Palatino Linotype"/>
          <w:lang w:val="es-CL"/>
        </w:rPr>
      </w:pPr>
    </w:p>
    <w:p w14:paraId="1B17F8D2" w14:textId="01A46869" w:rsidR="0039174D" w:rsidRDefault="0039174D" w:rsidP="0039174D">
      <w:pPr>
        <w:pStyle w:val="Prrafodelista"/>
        <w:numPr>
          <w:ilvl w:val="0"/>
          <w:numId w:val="17"/>
        </w:numPr>
        <w:jc w:val="both"/>
        <w:rPr>
          <w:rFonts w:ascii="Palatino Linotype" w:hAnsi="Palatino Linotype"/>
        </w:rPr>
      </w:pPr>
      <w:r>
        <w:rPr>
          <w:rFonts w:ascii="Palatino Linotype" w:hAnsi="Palatino Linotype"/>
        </w:rPr>
        <w:lastRenderedPageBreak/>
        <w:t>Crédito con aval del Estado (CAE)</w:t>
      </w:r>
    </w:p>
    <w:p w14:paraId="398A1716" w14:textId="77777777" w:rsidR="0039174D" w:rsidRDefault="0039174D" w:rsidP="0039174D">
      <w:pPr>
        <w:ind w:left="708"/>
        <w:jc w:val="both"/>
        <w:rPr>
          <w:rFonts w:ascii="Palatino Linotype" w:hAnsi="Palatino Linotype"/>
        </w:rPr>
      </w:pPr>
    </w:p>
    <w:p w14:paraId="5D3246C3" w14:textId="2D7CE7D8" w:rsidR="0039174D" w:rsidRDefault="0039174D" w:rsidP="0039174D">
      <w:pPr>
        <w:ind w:left="708"/>
        <w:jc w:val="both"/>
        <w:rPr>
          <w:rFonts w:ascii="Palatino Linotype" w:hAnsi="Palatino Linotype"/>
        </w:rPr>
      </w:pPr>
      <w:r>
        <w:rPr>
          <w:rFonts w:ascii="Palatino Linotype" w:hAnsi="Palatino Linotype"/>
        </w:rPr>
        <w:t xml:space="preserve">Es un beneficio para estudiantes que vayan a estudiar en IES acreditadas y adscritas al </w:t>
      </w:r>
      <w:r w:rsidR="00A26C3E">
        <w:rPr>
          <w:rFonts w:ascii="Palatino Linotype" w:hAnsi="Palatino Linotype"/>
        </w:rPr>
        <w:t>Sistema de Crédito para Estudios Superiores</w:t>
      </w:r>
      <w:r w:rsidR="00A26C3E">
        <w:rPr>
          <w:rStyle w:val="Refdenotaalpie"/>
          <w:rFonts w:ascii="Palatino Linotype" w:hAnsi="Palatino Linotype"/>
        </w:rPr>
        <w:footnoteReference w:id="7"/>
      </w:r>
      <w:r w:rsidR="00A26C3E">
        <w:rPr>
          <w:rFonts w:ascii="Palatino Linotype" w:hAnsi="Palatino Linotype"/>
        </w:rPr>
        <w:t xml:space="preserve">. Este crédito es otorgado por el sistema financiero con el respaldo de dos avales: (i) la institución en la cual el estudiante estudia y (ii) el Estado, hasta que se haya pagado por completo la deuda. No se requiere avales familiares. Este crédito se asigna para todos los años que dure la carrera, y es el beneficiado quien determina el monto del crédito que solicitará anualmente, en función de sus necesidades. Además, se puede cambiar de carrera o institución sin perder el crédito. </w:t>
      </w:r>
      <w:r w:rsidR="00C16A14">
        <w:rPr>
          <w:rFonts w:ascii="Palatino Linotype" w:hAnsi="Palatino Linotype"/>
        </w:rPr>
        <w:t>La</w:t>
      </w:r>
      <w:r w:rsidR="00A26C3E">
        <w:rPr>
          <w:rFonts w:ascii="Palatino Linotype" w:hAnsi="Palatino Linotype"/>
        </w:rPr>
        <w:t xml:space="preserve"> tasa de interés del crédito es de 2% real y no hay obligación de pagar mientras se estudia.</w:t>
      </w:r>
      <w:r w:rsidR="00C16A14">
        <w:rPr>
          <w:rFonts w:ascii="Palatino Linotype" w:hAnsi="Palatino Linotype"/>
        </w:rPr>
        <w:t xml:space="preserve"> Por último, respecto al pago, el beneficiario tiene la opción de pagar como máximo el 10% de sus ingresos anuales en la deuda contraída por el CAE</w:t>
      </w:r>
      <w:r w:rsidR="00BC117D">
        <w:rPr>
          <w:rStyle w:val="Refdenotaalpie"/>
          <w:rFonts w:ascii="Palatino Linotype" w:hAnsi="Palatino Linotype"/>
        </w:rPr>
        <w:footnoteReference w:id="8"/>
      </w:r>
      <w:r w:rsidR="00C16A14">
        <w:rPr>
          <w:rFonts w:ascii="Palatino Linotype" w:hAnsi="Palatino Linotype"/>
        </w:rPr>
        <w:t>.</w:t>
      </w:r>
    </w:p>
    <w:p w14:paraId="748D4F6C" w14:textId="77777777" w:rsidR="00A8431F" w:rsidRDefault="00A8431F" w:rsidP="00A8431F">
      <w:pPr>
        <w:jc w:val="both"/>
        <w:rPr>
          <w:rFonts w:ascii="Palatino Linotype" w:hAnsi="Palatino Linotype"/>
        </w:rPr>
      </w:pPr>
    </w:p>
    <w:p w14:paraId="17DAB8E6" w14:textId="3B2DEE63" w:rsidR="00A8431F" w:rsidRPr="00A8431F" w:rsidRDefault="00A8431F" w:rsidP="00A8431F">
      <w:pPr>
        <w:jc w:val="both"/>
        <w:rPr>
          <w:rFonts w:ascii="Palatino Linotype" w:hAnsi="Palatino Linotype"/>
          <w:lang w:val="es-ES"/>
        </w:rPr>
      </w:pPr>
      <w:r>
        <w:rPr>
          <w:rFonts w:ascii="Palatino Linotype" w:hAnsi="Palatino Linotype"/>
        </w:rPr>
        <w:t>Cabe mencionar que, de acuerdo al presupuesto fiscal de 2017, el costo del F</w:t>
      </w:r>
      <w:r w:rsidR="00E13EA5">
        <w:rPr>
          <w:rFonts w:ascii="Palatino Linotype" w:hAnsi="Palatino Linotype"/>
        </w:rPr>
        <w:t>SC</w:t>
      </w:r>
      <w:r>
        <w:rPr>
          <w:rFonts w:ascii="Palatino Linotype" w:hAnsi="Palatino Linotype"/>
        </w:rPr>
        <w:t xml:space="preserve">U fue de </w:t>
      </w:r>
      <w:r>
        <w:rPr>
          <w:rFonts w:ascii="Palatino Linotype" w:hAnsi="Palatino Linotype"/>
          <w:lang w:val="es-ES"/>
        </w:rPr>
        <w:t xml:space="preserve">$96.841 millones, mientras que el del </w:t>
      </w:r>
      <w:r>
        <w:rPr>
          <w:rFonts w:ascii="Palatino Linotype" w:hAnsi="Palatino Linotype"/>
        </w:rPr>
        <w:t xml:space="preserve">CAE fue de </w:t>
      </w:r>
      <w:r>
        <w:rPr>
          <w:rFonts w:ascii="Palatino Linotype" w:hAnsi="Palatino Linotype"/>
          <w:lang w:val="es-ES"/>
        </w:rPr>
        <w:t>$549.629 millones.</w:t>
      </w:r>
    </w:p>
    <w:p w14:paraId="6C2CCCB5" w14:textId="7572FD38" w:rsidR="00A8431F" w:rsidRPr="0039174D" w:rsidRDefault="00A8431F" w:rsidP="00A8431F">
      <w:pPr>
        <w:jc w:val="both"/>
        <w:rPr>
          <w:rFonts w:ascii="Palatino Linotype" w:hAnsi="Palatino Linotype"/>
        </w:rPr>
      </w:pPr>
    </w:p>
    <w:p w14:paraId="22D396AD" w14:textId="3487AFED" w:rsidR="006276FC" w:rsidRPr="006276FC" w:rsidRDefault="006276FC" w:rsidP="00F369FD">
      <w:pPr>
        <w:jc w:val="both"/>
        <w:rPr>
          <w:rFonts w:ascii="Palatino Linotype" w:hAnsi="Palatino Linotype"/>
        </w:rPr>
      </w:pPr>
    </w:p>
    <w:p w14:paraId="70A66132" w14:textId="77777777" w:rsidR="006276FC" w:rsidRDefault="006276FC" w:rsidP="00635944">
      <w:pPr>
        <w:jc w:val="both"/>
        <w:rPr>
          <w:rFonts w:ascii="Palatino Linotype" w:hAnsi="Palatino Linotype"/>
        </w:rPr>
      </w:pPr>
    </w:p>
    <w:p w14:paraId="32DCDFD6" w14:textId="535689A6" w:rsidR="006276FC" w:rsidRPr="006276FC" w:rsidRDefault="006276FC" w:rsidP="006276FC">
      <w:pPr>
        <w:pStyle w:val="Prrafodelista"/>
        <w:numPr>
          <w:ilvl w:val="0"/>
          <w:numId w:val="12"/>
        </w:numPr>
        <w:jc w:val="both"/>
        <w:rPr>
          <w:rFonts w:ascii="Palatino Linotype" w:hAnsi="Palatino Linotype"/>
        </w:rPr>
      </w:pPr>
      <w:r w:rsidRPr="006276FC">
        <w:rPr>
          <w:rFonts w:ascii="Palatino Linotype" w:hAnsi="Palatino Linotype"/>
        </w:rPr>
        <w:t>Fondos propios</w:t>
      </w:r>
    </w:p>
    <w:p w14:paraId="5E83DC39" w14:textId="77777777" w:rsidR="006276FC" w:rsidRPr="006276FC" w:rsidRDefault="006276FC" w:rsidP="006276FC">
      <w:pPr>
        <w:jc w:val="both"/>
        <w:rPr>
          <w:rFonts w:ascii="Palatino Linotype" w:hAnsi="Palatino Linotype"/>
        </w:rPr>
      </w:pPr>
    </w:p>
    <w:p w14:paraId="72748ABD" w14:textId="693312A4" w:rsidR="000524D9" w:rsidRDefault="00F369FD" w:rsidP="000524D9">
      <w:pPr>
        <w:jc w:val="both"/>
        <w:rPr>
          <w:rFonts w:ascii="Palatino Linotype" w:hAnsi="Palatino Linotype"/>
        </w:rPr>
      </w:pPr>
      <w:r>
        <w:rPr>
          <w:rFonts w:ascii="Palatino Linotype" w:hAnsi="Palatino Linotype"/>
        </w:rPr>
        <w:t xml:space="preserve">Por último, los estudiantes que acceden a la educación superior tienen la opción de pagar sus estudios a través de fondos propios. Es decir, tanto el arancel como la matrícula se pagan directamente desde los bolsillos de los alumnos o sus familiares, y no se establece ningún contrato entre los estudiantes y el Estado o entre el estudiante </w:t>
      </w:r>
      <w:r w:rsidR="006B43E0">
        <w:rPr>
          <w:rFonts w:ascii="Palatino Linotype" w:hAnsi="Palatino Linotype"/>
        </w:rPr>
        <w:t xml:space="preserve">y las </w:t>
      </w:r>
      <w:r>
        <w:rPr>
          <w:rFonts w:ascii="Palatino Linotype" w:hAnsi="Palatino Linotype"/>
        </w:rPr>
        <w:t xml:space="preserve">instituciones financieras. </w:t>
      </w:r>
    </w:p>
    <w:p w14:paraId="5A0CDA1B" w14:textId="77777777" w:rsidR="000524D9" w:rsidRPr="000524D9" w:rsidRDefault="000524D9" w:rsidP="000524D9">
      <w:pPr>
        <w:jc w:val="both"/>
        <w:rPr>
          <w:rFonts w:ascii="Palatino Linotype" w:hAnsi="Palatino Linotype"/>
        </w:rPr>
      </w:pPr>
    </w:p>
    <w:p w14:paraId="0586B698" w14:textId="77777777" w:rsidR="008A41FD" w:rsidRPr="008A41FD" w:rsidRDefault="008A41FD" w:rsidP="00441961">
      <w:pPr>
        <w:rPr>
          <w:rFonts w:ascii="Palatino Linotype" w:hAnsi="Palatino Linotype"/>
        </w:rPr>
      </w:pPr>
    </w:p>
    <w:p w14:paraId="141E854C" w14:textId="77777777" w:rsidR="000555B1" w:rsidRDefault="000555B1" w:rsidP="008A41FD">
      <w:pPr>
        <w:pStyle w:val="Ttulo2"/>
        <w:rPr>
          <w:rFonts w:ascii="Palatino Linotype" w:hAnsi="Palatino Linotype"/>
          <w:b w:val="0"/>
          <w:color w:val="auto"/>
          <w:sz w:val="28"/>
        </w:rPr>
      </w:pPr>
      <w:r>
        <w:rPr>
          <w:rFonts w:ascii="Palatino Linotype" w:hAnsi="Palatino Linotype"/>
          <w:b w:val="0"/>
          <w:color w:val="auto"/>
          <w:sz w:val="28"/>
        </w:rPr>
        <w:br w:type="page"/>
      </w:r>
    </w:p>
    <w:p w14:paraId="6ED755B7" w14:textId="6BE03A03" w:rsidR="001D0AAF" w:rsidRPr="008A41FD" w:rsidRDefault="00BE1414" w:rsidP="008A41FD">
      <w:pPr>
        <w:pStyle w:val="Ttulo2"/>
        <w:rPr>
          <w:rFonts w:ascii="Palatino Linotype" w:hAnsi="Palatino Linotype"/>
          <w:color w:val="auto"/>
          <w:lang w:val="es-ES"/>
        </w:rPr>
      </w:pPr>
      <w:bookmarkStart w:id="6" w:name="_Toc391553442"/>
      <w:r w:rsidRPr="00175DC1">
        <w:rPr>
          <w:rFonts w:ascii="Palatino Linotype" w:hAnsi="Palatino Linotype"/>
          <w:b w:val="0"/>
          <w:color w:val="auto"/>
          <w:sz w:val="28"/>
        </w:rPr>
        <w:lastRenderedPageBreak/>
        <w:t>B</w:t>
      </w:r>
      <w:r w:rsidR="00441961" w:rsidRPr="00175DC1">
        <w:rPr>
          <w:rFonts w:ascii="Palatino Linotype" w:hAnsi="Palatino Linotype"/>
          <w:b w:val="0"/>
          <w:color w:val="auto"/>
          <w:sz w:val="28"/>
        </w:rPr>
        <w:t xml:space="preserve">) </w:t>
      </w:r>
      <w:r w:rsidR="00945C29">
        <w:rPr>
          <w:rFonts w:ascii="Palatino Linotype" w:hAnsi="Palatino Linotype"/>
          <w:b w:val="0"/>
          <w:color w:val="auto"/>
          <w:sz w:val="28"/>
        </w:rPr>
        <w:t xml:space="preserve">Datos </w:t>
      </w:r>
      <w:r w:rsidR="004764C6">
        <w:rPr>
          <w:rFonts w:ascii="Palatino Linotype" w:hAnsi="Palatino Linotype"/>
          <w:b w:val="0"/>
          <w:color w:val="auto"/>
          <w:sz w:val="28"/>
        </w:rPr>
        <w:t xml:space="preserve"> </w:t>
      </w:r>
      <w:r w:rsidR="00945C29">
        <w:rPr>
          <w:rFonts w:ascii="Palatino Linotype" w:hAnsi="Palatino Linotype"/>
          <w:b w:val="0"/>
          <w:color w:val="auto"/>
          <w:sz w:val="28"/>
        </w:rPr>
        <w:t>sobre financiamiento en la educación su</w:t>
      </w:r>
      <w:r w:rsidR="008A41FD">
        <w:rPr>
          <w:rFonts w:ascii="Palatino Linotype" w:hAnsi="Palatino Linotype"/>
          <w:b w:val="0"/>
          <w:color w:val="auto"/>
          <w:sz w:val="28"/>
        </w:rPr>
        <w:t>perior</w:t>
      </w:r>
      <w:bookmarkEnd w:id="6"/>
    </w:p>
    <w:p w14:paraId="602A75C0" w14:textId="77777777" w:rsidR="00382107" w:rsidRDefault="00382107" w:rsidP="00382107"/>
    <w:p w14:paraId="62908178" w14:textId="27A092CF" w:rsidR="00A8431F" w:rsidRPr="00A8431F" w:rsidRDefault="00A8431F" w:rsidP="00A8431F">
      <w:pPr>
        <w:pStyle w:val="Ttulo3"/>
        <w:rPr>
          <w:rFonts w:ascii="Palatino Linotype" w:hAnsi="Palatino Linotype"/>
          <w:color w:val="auto"/>
          <w:sz w:val="26"/>
          <w:szCs w:val="26"/>
          <w:lang w:val="es-ES"/>
        </w:rPr>
      </w:pP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bookmarkStart w:id="7" w:name="_Toc391553443"/>
      <w:r>
        <w:rPr>
          <w:rFonts w:ascii="Palatino Linotype" w:hAnsi="Palatino Linotype"/>
          <w:color w:val="auto"/>
          <w:sz w:val="26"/>
          <w:szCs w:val="26"/>
          <w:lang w:val="es-ES"/>
        </w:rPr>
        <w:t>i</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Datos generales de educación superior en Chile</w:t>
      </w:r>
      <w:bookmarkEnd w:id="7"/>
    </w:p>
    <w:p w14:paraId="5CC3BE1F" w14:textId="77777777" w:rsidR="00A8431F" w:rsidRDefault="00A8431F" w:rsidP="005315ED">
      <w:pPr>
        <w:jc w:val="both"/>
        <w:rPr>
          <w:rFonts w:ascii="Palatino Linotype" w:hAnsi="Palatino Linotype"/>
        </w:rPr>
      </w:pPr>
    </w:p>
    <w:p w14:paraId="76E2418E" w14:textId="6BD0AC30" w:rsidR="005315ED" w:rsidRPr="005315ED" w:rsidRDefault="00D54CE1" w:rsidP="005315ED">
      <w:pPr>
        <w:jc w:val="both"/>
        <w:rPr>
          <w:rFonts w:ascii="Palatino Linotype" w:hAnsi="Palatino Linotype"/>
        </w:rPr>
      </w:pPr>
      <w:r w:rsidRPr="00D54CE1">
        <w:rPr>
          <w:rFonts w:ascii="Palatino Linotype" w:hAnsi="Palatino Linotype"/>
        </w:rPr>
        <w:t>Actualmente</w:t>
      </w:r>
      <w:r w:rsidR="005315ED">
        <w:rPr>
          <w:rFonts w:ascii="Palatino Linotype" w:hAnsi="Palatino Linotype"/>
        </w:rPr>
        <w:t>,</w:t>
      </w:r>
      <w:r w:rsidRPr="00D54CE1">
        <w:rPr>
          <w:rFonts w:ascii="Palatino Linotype" w:hAnsi="Palatino Linotype"/>
        </w:rPr>
        <w:t xml:space="preserve"> en el </w:t>
      </w:r>
      <w:r>
        <w:rPr>
          <w:rFonts w:ascii="Palatino Linotype" w:hAnsi="Palatino Linotype"/>
        </w:rPr>
        <w:t xml:space="preserve">sistema de educación superior en Chile, que incluye a universidades, IP y CFTS, están </w:t>
      </w:r>
      <w:r w:rsidR="00A50D92">
        <w:rPr>
          <w:rFonts w:ascii="Palatino Linotype" w:hAnsi="Palatino Linotype"/>
        </w:rPr>
        <w:t>matriculados</w:t>
      </w:r>
      <w:r>
        <w:rPr>
          <w:rFonts w:ascii="Palatino Linotype" w:hAnsi="Palatino Linotype"/>
        </w:rPr>
        <w:t xml:space="preserve"> </w:t>
      </w:r>
      <w:r w:rsidR="00A50D92">
        <w:rPr>
          <w:rFonts w:ascii="Palatino Linotype" w:hAnsi="Palatino Linotype"/>
        </w:rPr>
        <w:t>más de un millón doscientos mil estudiantes, entre pregrado y postgrado.</w:t>
      </w:r>
      <w:r w:rsidR="005315ED">
        <w:rPr>
          <w:rFonts w:ascii="Palatino Linotype" w:hAnsi="Palatino Linotype"/>
        </w:rPr>
        <w:t xml:space="preserve"> De este total, </w:t>
      </w:r>
      <w:r w:rsidR="005315ED" w:rsidRPr="005315ED">
        <w:rPr>
          <w:rFonts w:ascii="Palatino Linotype" w:hAnsi="Palatino Linotype"/>
        </w:rPr>
        <w:t xml:space="preserve">1.166.896 corresponden a estudiantes de pregrado, mientras que el resto, </w:t>
      </w:r>
      <w:r w:rsidR="005315ED">
        <w:rPr>
          <w:rFonts w:ascii="Palatino Linotype" w:hAnsi="Palatino Linotype"/>
        </w:rPr>
        <w:t>63.184, pertenecen a programas de posgrado</w:t>
      </w:r>
      <w:r w:rsidR="005315ED">
        <w:rPr>
          <w:rStyle w:val="Refdenotaalpie"/>
          <w:rFonts w:ascii="Palatino Linotype" w:hAnsi="Palatino Linotype"/>
        </w:rPr>
        <w:footnoteReference w:id="9"/>
      </w:r>
      <w:r w:rsidR="005315ED">
        <w:rPr>
          <w:rFonts w:ascii="Palatino Linotype" w:hAnsi="Palatino Linotype"/>
        </w:rPr>
        <w:t xml:space="preserve">. De estos alumnos, </w:t>
      </w:r>
      <w:r w:rsidR="000555B1">
        <w:rPr>
          <w:rFonts w:ascii="Palatino Linotype" w:hAnsi="Palatino Linotype"/>
        </w:rPr>
        <w:t>722.741</w:t>
      </w:r>
      <w:r w:rsidR="005315ED">
        <w:rPr>
          <w:rFonts w:ascii="Palatino Linotype" w:hAnsi="Palatino Linotype"/>
        </w:rPr>
        <w:t xml:space="preserve"> (</w:t>
      </w:r>
      <w:r w:rsidR="00BC614D">
        <w:rPr>
          <w:rFonts w:ascii="Palatino Linotype" w:hAnsi="Palatino Linotype"/>
        </w:rPr>
        <w:t>59</w:t>
      </w:r>
      <w:r w:rsidR="005315ED">
        <w:rPr>
          <w:rFonts w:ascii="Palatino Linotype" w:hAnsi="Palatino Linotype"/>
        </w:rPr>
        <w:t>%) pertenecen a universidade</w:t>
      </w:r>
      <w:r w:rsidR="00BC5714">
        <w:rPr>
          <w:rFonts w:ascii="Palatino Linotype" w:hAnsi="Palatino Linotype"/>
        </w:rPr>
        <w:t xml:space="preserve">s, </w:t>
      </w:r>
      <w:r w:rsidR="000555B1">
        <w:rPr>
          <w:rFonts w:ascii="Palatino Linotype" w:hAnsi="Palatino Linotype"/>
        </w:rPr>
        <w:t>371.985</w:t>
      </w:r>
      <w:r w:rsidR="00BC5714">
        <w:rPr>
          <w:rFonts w:ascii="Palatino Linotype" w:hAnsi="Palatino Linotype"/>
        </w:rPr>
        <w:t xml:space="preserve"> (30%) a IP, y </w:t>
      </w:r>
      <w:r w:rsidR="000555B1">
        <w:rPr>
          <w:rFonts w:ascii="Palatino Linotype" w:hAnsi="Palatino Linotype"/>
        </w:rPr>
        <w:t>132.541</w:t>
      </w:r>
      <w:r w:rsidR="00BC5714">
        <w:rPr>
          <w:rFonts w:ascii="Palatino Linotype" w:hAnsi="Palatino Linotype"/>
        </w:rPr>
        <w:t xml:space="preserve"> (</w:t>
      </w:r>
      <w:r w:rsidR="00BC614D">
        <w:rPr>
          <w:rFonts w:ascii="Palatino Linotype" w:hAnsi="Palatino Linotype"/>
        </w:rPr>
        <w:t>11</w:t>
      </w:r>
      <w:r w:rsidR="00BC5714">
        <w:rPr>
          <w:rFonts w:ascii="Palatino Linotype" w:hAnsi="Palatino Linotype"/>
        </w:rPr>
        <w:t xml:space="preserve">%) a CFTS, y por </w:t>
      </w:r>
      <w:r w:rsidR="00BC5714">
        <w:rPr>
          <w:rFonts w:ascii="Palatino Linotype" w:hAnsi="Palatino Linotype"/>
          <w:vanish/>
        </w:rPr>
        <w:t>a tabla siguiente:imientos de las FFAA universidades, W (T%) aAite e instituciones financieras. e ningel cre haya obtenido el añ</w:t>
      </w:r>
      <w:r w:rsidR="00BC5714">
        <w:rPr>
          <w:rFonts w:ascii="Palatino Linotype" w:hAnsi="Palatino Linotype"/>
        </w:rPr>
        <w:t xml:space="preserve">último,  </w:t>
      </w:r>
      <w:r w:rsidR="000555B1">
        <w:rPr>
          <w:rFonts w:ascii="Palatino Linotype" w:hAnsi="Palatino Linotype"/>
        </w:rPr>
        <w:t>2.813</w:t>
      </w:r>
      <w:r w:rsidR="00BC5714">
        <w:rPr>
          <w:rFonts w:ascii="Palatino Linotype" w:hAnsi="Palatino Linotype"/>
        </w:rPr>
        <w:t xml:space="preserve"> (0,2%) a establecimientos de las FFAA.</w:t>
      </w:r>
    </w:p>
    <w:p w14:paraId="675F1AA2" w14:textId="78FCA2F9" w:rsidR="006B43E0" w:rsidRDefault="00BC5714" w:rsidP="005315ED">
      <w:pPr>
        <w:jc w:val="both"/>
        <w:rPr>
          <w:rFonts w:ascii="Palatino Linotype" w:hAnsi="Palatino Linotype"/>
        </w:rPr>
      </w:pPr>
      <w:r>
        <w:rPr>
          <w:rFonts w:ascii="Palatino Linotype" w:hAnsi="Palatino Linotype"/>
        </w:rPr>
        <w:t>Esta información se resume en la tabla siguiente:</w:t>
      </w:r>
    </w:p>
    <w:p w14:paraId="076220A0" w14:textId="77777777" w:rsidR="000555B1" w:rsidRPr="000555B1" w:rsidRDefault="000555B1" w:rsidP="005315ED">
      <w:pPr>
        <w:jc w:val="both"/>
        <w:rPr>
          <w:rFonts w:ascii="Palatino Linotype" w:hAnsi="Palatino Linotype"/>
          <w:sz w:val="28"/>
        </w:rPr>
      </w:pPr>
    </w:p>
    <w:p w14:paraId="4BD0C5CD" w14:textId="05769011" w:rsidR="000555B1" w:rsidRPr="000555B1" w:rsidRDefault="000555B1" w:rsidP="000555B1">
      <w:pPr>
        <w:pStyle w:val="Epgrafe"/>
        <w:keepNext/>
        <w:rPr>
          <w:rFonts w:ascii="Palatino Linotype" w:hAnsi="Palatino Linotype"/>
          <w:color w:val="auto"/>
          <w:sz w:val="22"/>
        </w:rPr>
      </w:pPr>
      <w:bookmarkStart w:id="8" w:name="_Toc391553467"/>
      <w:r w:rsidRPr="000555B1">
        <w:rPr>
          <w:rFonts w:ascii="Palatino Linotype" w:hAnsi="Palatino Linotype"/>
          <w:color w:val="auto"/>
          <w:sz w:val="22"/>
        </w:rPr>
        <w:t xml:space="preserve">Tabla </w:t>
      </w:r>
      <w:r w:rsidRPr="000555B1">
        <w:rPr>
          <w:rFonts w:ascii="Palatino Linotype" w:hAnsi="Palatino Linotype"/>
          <w:color w:val="auto"/>
          <w:sz w:val="22"/>
        </w:rPr>
        <w:fldChar w:fldCharType="begin"/>
      </w:r>
      <w:r w:rsidRPr="000555B1">
        <w:rPr>
          <w:rFonts w:ascii="Palatino Linotype" w:hAnsi="Palatino Linotype"/>
          <w:color w:val="auto"/>
          <w:sz w:val="22"/>
        </w:rPr>
        <w:instrText xml:space="preserve"> SEQ Tabla \* ARABIC </w:instrText>
      </w:r>
      <w:r w:rsidRPr="000555B1">
        <w:rPr>
          <w:rFonts w:ascii="Palatino Linotype" w:hAnsi="Palatino Linotype"/>
          <w:color w:val="auto"/>
          <w:sz w:val="22"/>
        </w:rPr>
        <w:fldChar w:fldCharType="separate"/>
      </w:r>
      <w:r w:rsidR="00DC1EC1">
        <w:rPr>
          <w:rFonts w:ascii="Palatino Linotype" w:hAnsi="Palatino Linotype"/>
          <w:noProof/>
          <w:color w:val="auto"/>
          <w:sz w:val="22"/>
        </w:rPr>
        <w:t>1</w:t>
      </w:r>
      <w:r w:rsidRPr="000555B1">
        <w:rPr>
          <w:rFonts w:ascii="Palatino Linotype" w:hAnsi="Palatino Linotype"/>
          <w:color w:val="auto"/>
          <w:sz w:val="22"/>
        </w:rPr>
        <w:fldChar w:fldCharType="end"/>
      </w:r>
      <w:r w:rsidRPr="000555B1">
        <w:rPr>
          <w:rFonts w:ascii="Palatino Linotype" w:hAnsi="Palatino Linotype"/>
          <w:color w:val="auto"/>
          <w:sz w:val="22"/>
        </w:rPr>
        <w:t>: Matrícula de estudiantes por tipo de IES, año 2017</w:t>
      </w:r>
      <w:bookmarkEnd w:id="8"/>
    </w:p>
    <w:tbl>
      <w:tblPr>
        <w:tblW w:w="5955" w:type="dxa"/>
        <w:tblInd w:w="55" w:type="dxa"/>
        <w:tblCellMar>
          <w:left w:w="70" w:type="dxa"/>
          <w:right w:w="70" w:type="dxa"/>
        </w:tblCellMar>
        <w:tblLook w:val="04A0" w:firstRow="1" w:lastRow="0" w:firstColumn="1" w:lastColumn="0" w:noHBand="0" w:noVBand="1"/>
      </w:tblPr>
      <w:tblGrid>
        <w:gridCol w:w="2235"/>
        <w:gridCol w:w="1924"/>
        <w:gridCol w:w="1796"/>
      </w:tblGrid>
      <w:tr w:rsidR="000555B1" w:rsidRPr="000555B1" w14:paraId="6592A04E" w14:textId="77777777" w:rsidTr="00A67DC0">
        <w:trPr>
          <w:trHeight w:val="294"/>
        </w:trPr>
        <w:tc>
          <w:tcPr>
            <w:tcW w:w="2235" w:type="dxa"/>
            <w:tcBorders>
              <w:top w:val="single" w:sz="4" w:space="0" w:color="auto"/>
              <w:left w:val="single" w:sz="4" w:space="0" w:color="auto"/>
              <w:bottom w:val="single" w:sz="4" w:space="0" w:color="auto"/>
              <w:right w:val="single" w:sz="4" w:space="0" w:color="auto"/>
            </w:tcBorders>
            <w:shd w:val="clear" w:color="000000" w:fill="1F497D" w:themeFill="text2"/>
            <w:noWrap/>
            <w:vAlign w:val="bottom"/>
            <w:hideMark/>
          </w:tcPr>
          <w:p w14:paraId="295DBCE0" w14:textId="77777777" w:rsidR="000555B1" w:rsidRPr="00967A08" w:rsidRDefault="000555B1" w:rsidP="000555B1">
            <w:pPr>
              <w:rPr>
                <w:rFonts w:ascii="Palatino Linotype" w:eastAsia="Times New Roman" w:hAnsi="Palatino Linotype" w:cs="Times New Roman"/>
                <w:b/>
                <w:bCs/>
                <w:color w:val="FFFFFF"/>
                <w:sz w:val="22"/>
                <w:szCs w:val="22"/>
                <w:lang w:val="es-CL"/>
              </w:rPr>
            </w:pPr>
            <w:r w:rsidRPr="00967A08">
              <w:rPr>
                <w:rFonts w:ascii="Palatino Linotype" w:eastAsia="Times New Roman" w:hAnsi="Palatino Linotype" w:cs="Times New Roman"/>
                <w:b/>
                <w:bCs/>
                <w:color w:val="FFFFFF"/>
                <w:sz w:val="22"/>
                <w:szCs w:val="22"/>
                <w:lang w:val="es-CL"/>
              </w:rPr>
              <w:t>IES</w:t>
            </w:r>
          </w:p>
        </w:tc>
        <w:tc>
          <w:tcPr>
            <w:tcW w:w="1924" w:type="dxa"/>
            <w:tcBorders>
              <w:top w:val="single" w:sz="4" w:space="0" w:color="auto"/>
              <w:left w:val="nil"/>
              <w:bottom w:val="single" w:sz="4" w:space="0" w:color="auto"/>
              <w:right w:val="single" w:sz="4" w:space="0" w:color="auto"/>
            </w:tcBorders>
            <w:shd w:val="clear" w:color="000000" w:fill="1F497D" w:themeFill="text2"/>
            <w:noWrap/>
            <w:vAlign w:val="bottom"/>
            <w:hideMark/>
          </w:tcPr>
          <w:p w14:paraId="0C23B86B" w14:textId="77777777" w:rsidR="000555B1" w:rsidRPr="00967A08" w:rsidRDefault="000555B1" w:rsidP="000555B1">
            <w:pPr>
              <w:jc w:val="center"/>
              <w:rPr>
                <w:rFonts w:ascii="Palatino Linotype" w:eastAsia="Times New Roman" w:hAnsi="Palatino Linotype" w:cs="Times New Roman"/>
                <w:b/>
                <w:bCs/>
                <w:color w:val="FFFFFF"/>
                <w:sz w:val="22"/>
                <w:szCs w:val="22"/>
                <w:lang w:val="es-CL"/>
              </w:rPr>
            </w:pPr>
            <w:r w:rsidRPr="00967A08">
              <w:rPr>
                <w:rFonts w:ascii="Palatino Linotype" w:eastAsia="Times New Roman" w:hAnsi="Palatino Linotype" w:cs="Times New Roman"/>
                <w:b/>
                <w:bCs/>
                <w:color w:val="FFFFFF"/>
                <w:sz w:val="22"/>
                <w:szCs w:val="22"/>
                <w:lang w:val="es-CL"/>
              </w:rPr>
              <w:t>Estudiantes</w:t>
            </w:r>
          </w:p>
        </w:tc>
        <w:tc>
          <w:tcPr>
            <w:tcW w:w="1796" w:type="dxa"/>
            <w:tcBorders>
              <w:top w:val="single" w:sz="4" w:space="0" w:color="auto"/>
              <w:left w:val="nil"/>
              <w:bottom w:val="single" w:sz="4" w:space="0" w:color="auto"/>
              <w:right w:val="single" w:sz="4" w:space="0" w:color="auto"/>
            </w:tcBorders>
            <w:shd w:val="clear" w:color="000000" w:fill="1F497D" w:themeFill="text2"/>
            <w:noWrap/>
            <w:vAlign w:val="bottom"/>
            <w:hideMark/>
          </w:tcPr>
          <w:p w14:paraId="51668895" w14:textId="77777777" w:rsidR="000555B1" w:rsidRPr="00967A08" w:rsidRDefault="000555B1" w:rsidP="000555B1">
            <w:pPr>
              <w:jc w:val="center"/>
              <w:rPr>
                <w:rFonts w:ascii="Palatino Linotype" w:eastAsia="Times New Roman" w:hAnsi="Palatino Linotype" w:cs="Times New Roman"/>
                <w:b/>
                <w:bCs/>
                <w:color w:val="FFFFFF"/>
                <w:sz w:val="22"/>
                <w:szCs w:val="22"/>
                <w:lang w:val="es-CL"/>
              </w:rPr>
            </w:pPr>
            <w:r w:rsidRPr="00967A08">
              <w:rPr>
                <w:rFonts w:ascii="Palatino Linotype" w:eastAsia="Times New Roman" w:hAnsi="Palatino Linotype" w:cs="Times New Roman"/>
                <w:b/>
                <w:bCs/>
                <w:color w:val="FFFFFF"/>
                <w:sz w:val="22"/>
                <w:szCs w:val="22"/>
                <w:lang w:val="es-CL"/>
              </w:rPr>
              <w:t>Porcentaje</w:t>
            </w:r>
          </w:p>
        </w:tc>
      </w:tr>
      <w:tr w:rsidR="000555B1" w:rsidRPr="000555B1" w14:paraId="150B9F3E" w14:textId="77777777" w:rsidTr="00967A08">
        <w:trPr>
          <w:trHeight w:val="29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51CCAEB" w14:textId="77777777" w:rsidR="000555B1" w:rsidRPr="00967A08" w:rsidRDefault="000555B1" w:rsidP="000555B1">
            <w:pP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CFT</w:t>
            </w:r>
          </w:p>
        </w:tc>
        <w:tc>
          <w:tcPr>
            <w:tcW w:w="1924" w:type="dxa"/>
            <w:tcBorders>
              <w:top w:val="nil"/>
              <w:left w:val="nil"/>
              <w:bottom w:val="single" w:sz="4" w:space="0" w:color="auto"/>
              <w:right w:val="single" w:sz="4" w:space="0" w:color="auto"/>
            </w:tcBorders>
            <w:shd w:val="clear" w:color="auto" w:fill="auto"/>
            <w:noWrap/>
            <w:vAlign w:val="center"/>
            <w:hideMark/>
          </w:tcPr>
          <w:p w14:paraId="7CA17980" w14:textId="3081A083"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132.541</w:t>
            </w:r>
          </w:p>
        </w:tc>
        <w:tc>
          <w:tcPr>
            <w:tcW w:w="1796" w:type="dxa"/>
            <w:tcBorders>
              <w:top w:val="nil"/>
              <w:left w:val="nil"/>
              <w:bottom w:val="single" w:sz="4" w:space="0" w:color="auto"/>
              <w:right w:val="single" w:sz="4" w:space="0" w:color="auto"/>
            </w:tcBorders>
            <w:shd w:val="clear" w:color="auto" w:fill="auto"/>
            <w:noWrap/>
            <w:vAlign w:val="center"/>
            <w:hideMark/>
          </w:tcPr>
          <w:p w14:paraId="59BF256D" w14:textId="77777777"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10,8%</w:t>
            </w:r>
          </w:p>
        </w:tc>
      </w:tr>
      <w:tr w:rsidR="000555B1" w:rsidRPr="000555B1" w14:paraId="5854C42D" w14:textId="77777777" w:rsidTr="00967A08">
        <w:trPr>
          <w:trHeight w:val="29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79E8BC6D" w14:textId="77777777" w:rsidR="000555B1" w:rsidRPr="00967A08" w:rsidRDefault="000555B1" w:rsidP="000555B1">
            <w:pP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FFAA</w:t>
            </w:r>
          </w:p>
        </w:tc>
        <w:tc>
          <w:tcPr>
            <w:tcW w:w="1924" w:type="dxa"/>
            <w:tcBorders>
              <w:top w:val="nil"/>
              <w:left w:val="nil"/>
              <w:bottom w:val="single" w:sz="4" w:space="0" w:color="auto"/>
              <w:right w:val="single" w:sz="4" w:space="0" w:color="auto"/>
            </w:tcBorders>
            <w:shd w:val="clear" w:color="auto" w:fill="auto"/>
            <w:noWrap/>
            <w:vAlign w:val="center"/>
            <w:hideMark/>
          </w:tcPr>
          <w:p w14:paraId="7091968F" w14:textId="77F78E3D"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2.813</w:t>
            </w:r>
          </w:p>
        </w:tc>
        <w:tc>
          <w:tcPr>
            <w:tcW w:w="1796" w:type="dxa"/>
            <w:tcBorders>
              <w:top w:val="nil"/>
              <w:left w:val="nil"/>
              <w:bottom w:val="single" w:sz="4" w:space="0" w:color="auto"/>
              <w:right w:val="single" w:sz="4" w:space="0" w:color="auto"/>
            </w:tcBorders>
            <w:shd w:val="clear" w:color="auto" w:fill="auto"/>
            <w:noWrap/>
            <w:vAlign w:val="center"/>
            <w:hideMark/>
          </w:tcPr>
          <w:p w14:paraId="1C49DA9F" w14:textId="77777777"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0,2%</w:t>
            </w:r>
          </w:p>
        </w:tc>
      </w:tr>
      <w:tr w:rsidR="000555B1" w:rsidRPr="000555B1" w14:paraId="19E1E860" w14:textId="77777777" w:rsidTr="00967A08">
        <w:trPr>
          <w:trHeight w:val="29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46F6D7F3" w14:textId="77777777" w:rsidR="000555B1" w:rsidRPr="00967A08" w:rsidRDefault="000555B1" w:rsidP="000555B1">
            <w:pP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IP</w:t>
            </w:r>
          </w:p>
        </w:tc>
        <w:tc>
          <w:tcPr>
            <w:tcW w:w="1924" w:type="dxa"/>
            <w:tcBorders>
              <w:top w:val="nil"/>
              <w:left w:val="nil"/>
              <w:bottom w:val="single" w:sz="4" w:space="0" w:color="auto"/>
              <w:right w:val="single" w:sz="4" w:space="0" w:color="auto"/>
            </w:tcBorders>
            <w:shd w:val="clear" w:color="auto" w:fill="auto"/>
            <w:noWrap/>
            <w:vAlign w:val="center"/>
            <w:hideMark/>
          </w:tcPr>
          <w:p w14:paraId="06C76ACF" w14:textId="6F18B364"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371.985</w:t>
            </w:r>
          </w:p>
        </w:tc>
        <w:tc>
          <w:tcPr>
            <w:tcW w:w="1796" w:type="dxa"/>
            <w:tcBorders>
              <w:top w:val="nil"/>
              <w:left w:val="nil"/>
              <w:bottom w:val="single" w:sz="4" w:space="0" w:color="auto"/>
              <w:right w:val="single" w:sz="4" w:space="0" w:color="auto"/>
            </w:tcBorders>
            <w:shd w:val="clear" w:color="auto" w:fill="auto"/>
            <w:noWrap/>
            <w:vAlign w:val="center"/>
            <w:hideMark/>
          </w:tcPr>
          <w:p w14:paraId="2B593F66" w14:textId="77777777"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30,2%</w:t>
            </w:r>
          </w:p>
        </w:tc>
      </w:tr>
      <w:tr w:rsidR="000555B1" w:rsidRPr="000555B1" w14:paraId="25CECA46" w14:textId="77777777" w:rsidTr="00967A08">
        <w:trPr>
          <w:trHeight w:val="29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A9C66D2" w14:textId="77777777" w:rsidR="000555B1" w:rsidRPr="00967A08" w:rsidRDefault="000555B1" w:rsidP="000555B1">
            <w:pP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Universidades</w:t>
            </w:r>
          </w:p>
        </w:tc>
        <w:tc>
          <w:tcPr>
            <w:tcW w:w="1924" w:type="dxa"/>
            <w:tcBorders>
              <w:top w:val="nil"/>
              <w:left w:val="nil"/>
              <w:bottom w:val="single" w:sz="4" w:space="0" w:color="auto"/>
              <w:right w:val="single" w:sz="4" w:space="0" w:color="auto"/>
            </w:tcBorders>
            <w:shd w:val="clear" w:color="auto" w:fill="auto"/>
            <w:noWrap/>
            <w:vAlign w:val="center"/>
            <w:hideMark/>
          </w:tcPr>
          <w:p w14:paraId="2D2145C1" w14:textId="21A6FFA3"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722.741</w:t>
            </w:r>
          </w:p>
        </w:tc>
        <w:tc>
          <w:tcPr>
            <w:tcW w:w="1796" w:type="dxa"/>
            <w:tcBorders>
              <w:top w:val="nil"/>
              <w:left w:val="nil"/>
              <w:bottom w:val="single" w:sz="4" w:space="0" w:color="auto"/>
              <w:right w:val="single" w:sz="4" w:space="0" w:color="auto"/>
            </w:tcBorders>
            <w:shd w:val="clear" w:color="auto" w:fill="auto"/>
            <w:noWrap/>
            <w:vAlign w:val="center"/>
            <w:hideMark/>
          </w:tcPr>
          <w:p w14:paraId="707DD12E" w14:textId="77777777"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58,8%</w:t>
            </w:r>
          </w:p>
        </w:tc>
      </w:tr>
      <w:tr w:rsidR="000555B1" w:rsidRPr="000555B1" w14:paraId="36195561" w14:textId="77777777" w:rsidTr="00967A08">
        <w:trPr>
          <w:trHeight w:val="294"/>
        </w:trPr>
        <w:tc>
          <w:tcPr>
            <w:tcW w:w="2235" w:type="dxa"/>
            <w:tcBorders>
              <w:top w:val="nil"/>
              <w:left w:val="single" w:sz="4" w:space="0" w:color="auto"/>
              <w:bottom w:val="single" w:sz="4" w:space="0" w:color="auto"/>
              <w:right w:val="single" w:sz="4" w:space="0" w:color="auto"/>
            </w:tcBorders>
            <w:shd w:val="clear" w:color="auto" w:fill="auto"/>
            <w:noWrap/>
            <w:vAlign w:val="bottom"/>
            <w:hideMark/>
          </w:tcPr>
          <w:p w14:paraId="09329CF3" w14:textId="77777777" w:rsidR="000555B1" w:rsidRPr="00967A08" w:rsidRDefault="000555B1" w:rsidP="000555B1">
            <w:pP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Total</w:t>
            </w:r>
          </w:p>
        </w:tc>
        <w:tc>
          <w:tcPr>
            <w:tcW w:w="1924" w:type="dxa"/>
            <w:tcBorders>
              <w:top w:val="nil"/>
              <w:left w:val="nil"/>
              <w:bottom w:val="single" w:sz="4" w:space="0" w:color="auto"/>
              <w:right w:val="single" w:sz="4" w:space="0" w:color="auto"/>
            </w:tcBorders>
            <w:shd w:val="clear" w:color="auto" w:fill="auto"/>
            <w:noWrap/>
            <w:vAlign w:val="center"/>
            <w:hideMark/>
          </w:tcPr>
          <w:p w14:paraId="75BBCE9F" w14:textId="73BF1835"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1.230.080</w:t>
            </w:r>
          </w:p>
        </w:tc>
        <w:tc>
          <w:tcPr>
            <w:tcW w:w="1796" w:type="dxa"/>
            <w:tcBorders>
              <w:top w:val="nil"/>
              <w:left w:val="nil"/>
              <w:bottom w:val="single" w:sz="4" w:space="0" w:color="auto"/>
              <w:right w:val="single" w:sz="4" w:space="0" w:color="auto"/>
            </w:tcBorders>
            <w:shd w:val="clear" w:color="auto" w:fill="auto"/>
            <w:noWrap/>
            <w:vAlign w:val="center"/>
            <w:hideMark/>
          </w:tcPr>
          <w:p w14:paraId="40F29A61" w14:textId="77777777" w:rsidR="000555B1" w:rsidRPr="00967A08" w:rsidRDefault="000555B1" w:rsidP="000555B1">
            <w:pPr>
              <w:jc w:val="center"/>
              <w:rPr>
                <w:rFonts w:ascii="Palatino Linotype" w:eastAsia="Times New Roman" w:hAnsi="Palatino Linotype" w:cs="Times New Roman"/>
                <w:color w:val="000000"/>
                <w:sz w:val="22"/>
                <w:szCs w:val="22"/>
                <w:lang w:val="es-CL"/>
              </w:rPr>
            </w:pPr>
            <w:r w:rsidRPr="00967A08">
              <w:rPr>
                <w:rFonts w:ascii="Palatino Linotype" w:eastAsia="Times New Roman" w:hAnsi="Palatino Linotype" w:cs="Times New Roman"/>
                <w:color w:val="000000"/>
                <w:sz w:val="22"/>
                <w:szCs w:val="22"/>
                <w:lang w:val="es-CL"/>
              </w:rPr>
              <w:t>100%</w:t>
            </w:r>
          </w:p>
        </w:tc>
      </w:tr>
    </w:tbl>
    <w:p w14:paraId="5A8A523F" w14:textId="2F125DE0" w:rsidR="000555B1" w:rsidRDefault="000555B1" w:rsidP="005315ED">
      <w:pPr>
        <w:jc w:val="both"/>
        <w:rPr>
          <w:rFonts w:ascii="Palatino Linotype" w:hAnsi="Palatino Linotype"/>
        </w:rPr>
      </w:pPr>
      <w:r>
        <w:rPr>
          <w:rFonts w:ascii="Palatino Linotype" w:hAnsi="Palatino Linotype"/>
        </w:rPr>
        <w:t>Fuente: elaboración propia en base a CNED.</w:t>
      </w:r>
    </w:p>
    <w:p w14:paraId="6EA81A96" w14:textId="77777777" w:rsidR="000555B1" w:rsidRDefault="000555B1" w:rsidP="005315ED">
      <w:pPr>
        <w:jc w:val="both"/>
        <w:rPr>
          <w:rFonts w:ascii="Palatino Linotype" w:hAnsi="Palatino Linotype"/>
        </w:rPr>
      </w:pPr>
    </w:p>
    <w:p w14:paraId="4210DFE2" w14:textId="10A6897A" w:rsidR="000555B1" w:rsidRDefault="00464B54" w:rsidP="005315ED">
      <w:pPr>
        <w:jc w:val="both"/>
        <w:rPr>
          <w:rFonts w:ascii="Palatino Linotype" w:hAnsi="Palatino Linotype"/>
        </w:rPr>
      </w:pPr>
      <w:r>
        <w:rPr>
          <w:rFonts w:ascii="Palatino Linotype" w:hAnsi="Palatino Linotype"/>
        </w:rPr>
        <w:t>En términos de financiamiento, el análisis realizado en este informe se centrará en aquellos estudiantes de pregrado que asisten a universidades, IPs y CFTS, en contraste con aquellos que están afiliados a las FFAA, dado que cuentan con financiamiento propio de sus instituciones, o bien con aquellos que cursan estudios de posgrado, puesto que éstos últimos cuentan con otros recursos y con fondos propios para financiar su educación.</w:t>
      </w:r>
    </w:p>
    <w:p w14:paraId="5FF4D3FA" w14:textId="77777777" w:rsidR="00464B54" w:rsidRDefault="00464B54" w:rsidP="005315ED">
      <w:pPr>
        <w:jc w:val="both"/>
        <w:rPr>
          <w:rFonts w:ascii="Palatino Linotype" w:hAnsi="Palatino Linotype"/>
        </w:rPr>
      </w:pPr>
    </w:p>
    <w:p w14:paraId="4E7502AC" w14:textId="6ABAC1DF" w:rsidR="00464B54" w:rsidRDefault="00464B54" w:rsidP="005315ED">
      <w:pPr>
        <w:jc w:val="both"/>
        <w:rPr>
          <w:rFonts w:ascii="Palatino Linotype" w:hAnsi="Palatino Linotype"/>
        </w:rPr>
      </w:pPr>
      <w:r>
        <w:rPr>
          <w:rFonts w:ascii="Palatino Linotype" w:hAnsi="Palatino Linotype"/>
        </w:rPr>
        <w:t>En el universo de estudiantes de posgrado que acuden a una IES</w:t>
      </w:r>
      <w:r>
        <w:rPr>
          <w:rStyle w:val="Refdenotaalpie"/>
          <w:rFonts w:ascii="Palatino Linotype" w:hAnsi="Palatino Linotype"/>
        </w:rPr>
        <w:footnoteReference w:id="10"/>
      </w:r>
      <w:r>
        <w:rPr>
          <w:rFonts w:ascii="Palatino Linotype" w:hAnsi="Palatino Linotype"/>
        </w:rPr>
        <w:t xml:space="preserve">, la matrícula total el año 2017 fue de </w:t>
      </w:r>
      <w:r w:rsidR="00DA1C8A">
        <w:rPr>
          <w:rFonts w:ascii="Palatino Linotype" w:hAnsi="Palatino Linotype"/>
        </w:rPr>
        <w:t>1.227.267 alumnos, de los cuales 132.541 (11%) acudió a un CFT, 371.985 (30%) a un IP, y el resto, 722.741 (59%) a una universidad.</w:t>
      </w:r>
    </w:p>
    <w:p w14:paraId="09F4A86B" w14:textId="77777777" w:rsidR="00DA1C8A" w:rsidRDefault="00DA1C8A" w:rsidP="005315ED">
      <w:pPr>
        <w:jc w:val="both"/>
        <w:rPr>
          <w:rFonts w:ascii="Palatino Linotype" w:hAnsi="Palatino Linotype"/>
        </w:rPr>
      </w:pPr>
    </w:p>
    <w:p w14:paraId="17D25AA7" w14:textId="77777777" w:rsidR="00BC614D" w:rsidRDefault="00BC614D" w:rsidP="00DA1C8A">
      <w:pPr>
        <w:pStyle w:val="Epgrafe"/>
        <w:keepNext/>
        <w:rPr>
          <w:rFonts w:ascii="Palatino Linotype" w:hAnsi="Palatino Linotype"/>
          <w:color w:val="auto"/>
          <w:sz w:val="22"/>
        </w:rPr>
      </w:pPr>
    </w:p>
    <w:p w14:paraId="7BEC89AA" w14:textId="77777777" w:rsidR="00BC614D" w:rsidRDefault="00BC614D" w:rsidP="00BC614D"/>
    <w:p w14:paraId="3C6A2629" w14:textId="77777777" w:rsidR="00BC614D" w:rsidRPr="00BC614D" w:rsidRDefault="00BC614D" w:rsidP="00BC614D"/>
    <w:p w14:paraId="01DFA320" w14:textId="4D60E976" w:rsidR="00DA1C8A" w:rsidRPr="00DA1C8A" w:rsidRDefault="00DA1C8A" w:rsidP="00DA1C8A">
      <w:pPr>
        <w:pStyle w:val="Epgrafe"/>
        <w:keepNext/>
        <w:rPr>
          <w:rFonts w:ascii="Palatino Linotype" w:hAnsi="Palatino Linotype"/>
          <w:color w:val="auto"/>
          <w:sz w:val="22"/>
        </w:rPr>
      </w:pPr>
      <w:bookmarkStart w:id="9" w:name="_Toc391553468"/>
      <w:r w:rsidRPr="00DA1C8A">
        <w:rPr>
          <w:rFonts w:ascii="Palatino Linotype" w:hAnsi="Palatino Linotype"/>
          <w:color w:val="auto"/>
          <w:sz w:val="22"/>
        </w:rPr>
        <w:t xml:space="preserve">Tabla </w:t>
      </w:r>
      <w:r w:rsidRPr="00DA1C8A">
        <w:rPr>
          <w:rFonts w:ascii="Palatino Linotype" w:hAnsi="Palatino Linotype"/>
          <w:color w:val="auto"/>
          <w:sz w:val="22"/>
        </w:rPr>
        <w:fldChar w:fldCharType="begin"/>
      </w:r>
      <w:r w:rsidRPr="00DA1C8A">
        <w:rPr>
          <w:rFonts w:ascii="Palatino Linotype" w:hAnsi="Palatino Linotype"/>
          <w:color w:val="auto"/>
          <w:sz w:val="22"/>
        </w:rPr>
        <w:instrText xml:space="preserve"> SEQ Tabla \* ARABIC </w:instrText>
      </w:r>
      <w:r w:rsidRPr="00DA1C8A">
        <w:rPr>
          <w:rFonts w:ascii="Palatino Linotype" w:hAnsi="Palatino Linotype"/>
          <w:color w:val="auto"/>
          <w:sz w:val="22"/>
        </w:rPr>
        <w:fldChar w:fldCharType="separate"/>
      </w:r>
      <w:r w:rsidR="00DC1EC1">
        <w:rPr>
          <w:rFonts w:ascii="Palatino Linotype" w:hAnsi="Palatino Linotype"/>
          <w:noProof/>
          <w:color w:val="auto"/>
          <w:sz w:val="22"/>
        </w:rPr>
        <w:t>2</w:t>
      </w:r>
      <w:r w:rsidRPr="00DA1C8A">
        <w:rPr>
          <w:rFonts w:ascii="Palatino Linotype" w:hAnsi="Palatino Linotype"/>
          <w:color w:val="auto"/>
          <w:sz w:val="22"/>
        </w:rPr>
        <w:fldChar w:fldCharType="end"/>
      </w:r>
      <w:r>
        <w:rPr>
          <w:rFonts w:ascii="Palatino Linotype" w:hAnsi="Palatino Linotype"/>
          <w:color w:val="auto"/>
          <w:sz w:val="22"/>
        </w:rPr>
        <w:t>: Matrícula de estudiantes de pregrado por tipo de IES, año 2017</w:t>
      </w:r>
      <w:bookmarkEnd w:id="9"/>
    </w:p>
    <w:tbl>
      <w:tblPr>
        <w:tblW w:w="6137" w:type="dxa"/>
        <w:tblInd w:w="55" w:type="dxa"/>
        <w:tblCellMar>
          <w:left w:w="70" w:type="dxa"/>
          <w:right w:w="70" w:type="dxa"/>
        </w:tblCellMar>
        <w:tblLook w:val="04A0" w:firstRow="1" w:lastRow="0" w:firstColumn="1" w:lastColumn="0" w:noHBand="0" w:noVBand="1"/>
      </w:tblPr>
      <w:tblGrid>
        <w:gridCol w:w="2352"/>
        <w:gridCol w:w="1984"/>
        <w:gridCol w:w="1801"/>
      </w:tblGrid>
      <w:tr w:rsidR="00DA1C8A" w:rsidRPr="00DA1C8A" w14:paraId="230EEC45" w14:textId="77777777" w:rsidTr="00FA02DE">
        <w:trPr>
          <w:trHeight w:val="396"/>
        </w:trPr>
        <w:tc>
          <w:tcPr>
            <w:tcW w:w="2352" w:type="dxa"/>
            <w:tcBorders>
              <w:top w:val="single" w:sz="4" w:space="0" w:color="auto"/>
              <w:left w:val="single" w:sz="4" w:space="0" w:color="auto"/>
              <w:bottom w:val="single" w:sz="4" w:space="0" w:color="auto"/>
              <w:right w:val="single" w:sz="4" w:space="0" w:color="auto"/>
            </w:tcBorders>
            <w:shd w:val="clear" w:color="000000" w:fill="1F497D" w:themeFill="text2"/>
            <w:noWrap/>
            <w:vAlign w:val="center"/>
            <w:hideMark/>
          </w:tcPr>
          <w:p w14:paraId="4A3F4D41" w14:textId="77777777" w:rsidR="00DA1C8A" w:rsidRPr="00DA1C8A" w:rsidRDefault="00DA1C8A" w:rsidP="00DA1C8A">
            <w:pPr>
              <w:rPr>
                <w:rFonts w:ascii="Palatino Linotype" w:eastAsia="Times New Roman" w:hAnsi="Palatino Linotype" w:cs="Times New Roman"/>
                <w:b/>
                <w:bCs/>
                <w:color w:val="FFFFFF"/>
                <w:sz w:val="22"/>
                <w:szCs w:val="22"/>
                <w:lang w:val="es-CL"/>
              </w:rPr>
            </w:pPr>
            <w:r w:rsidRPr="00DA1C8A">
              <w:rPr>
                <w:rFonts w:ascii="Palatino Linotype" w:eastAsia="Times New Roman" w:hAnsi="Palatino Linotype" w:cs="Times New Roman"/>
                <w:b/>
                <w:bCs/>
                <w:color w:val="FFFFFF"/>
                <w:sz w:val="22"/>
                <w:szCs w:val="22"/>
                <w:lang w:val="es-CL"/>
              </w:rPr>
              <w:t>IES</w:t>
            </w:r>
          </w:p>
        </w:tc>
        <w:tc>
          <w:tcPr>
            <w:tcW w:w="1984"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79839F5C" w14:textId="77777777" w:rsidR="00DA1C8A" w:rsidRPr="00DA1C8A" w:rsidRDefault="00DA1C8A" w:rsidP="00DA1C8A">
            <w:pPr>
              <w:jc w:val="center"/>
              <w:rPr>
                <w:rFonts w:ascii="Palatino Linotype" w:eastAsia="Times New Roman" w:hAnsi="Palatino Linotype" w:cs="Times New Roman"/>
                <w:b/>
                <w:bCs/>
                <w:color w:val="FFFFFF"/>
                <w:sz w:val="22"/>
                <w:szCs w:val="22"/>
                <w:lang w:val="es-CL"/>
              </w:rPr>
            </w:pPr>
            <w:r w:rsidRPr="00DA1C8A">
              <w:rPr>
                <w:rFonts w:ascii="Palatino Linotype" w:eastAsia="Times New Roman" w:hAnsi="Palatino Linotype" w:cs="Times New Roman"/>
                <w:b/>
                <w:bCs/>
                <w:color w:val="FFFFFF"/>
                <w:sz w:val="22"/>
                <w:szCs w:val="22"/>
                <w:lang w:val="es-CL"/>
              </w:rPr>
              <w:t>Estudiantes</w:t>
            </w:r>
          </w:p>
        </w:tc>
        <w:tc>
          <w:tcPr>
            <w:tcW w:w="1801"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49858A14" w14:textId="77777777" w:rsidR="00DA1C8A" w:rsidRPr="00DA1C8A" w:rsidRDefault="00DA1C8A" w:rsidP="00DA1C8A">
            <w:pPr>
              <w:jc w:val="center"/>
              <w:rPr>
                <w:rFonts w:ascii="Palatino Linotype" w:eastAsia="Times New Roman" w:hAnsi="Palatino Linotype" w:cs="Times New Roman"/>
                <w:b/>
                <w:bCs/>
                <w:color w:val="FFFFFF"/>
                <w:sz w:val="22"/>
                <w:szCs w:val="22"/>
                <w:lang w:val="es-CL"/>
              </w:rPr>
            </w:pPr>
            <w:r w:rsidRPr="00DA1C8A">
              <w:rPr>
                <w:rFonts w:ascii="Palatino Linotype" w:eastAsia="Times New Roman" w:hAnsi="Palatino Linotype" w:cs="Times New Roman"/>
                <w:b/>
                <w:bCs/>
                <w:color w:val="FFFFFF"/>
                <w:sz w:val="22"/>
                <w:szCs w:val="22"/>
                <w:lang w:val="es-CL"/>
              </w:rPr>
              <w:t>Porcentaje</w:t>
            </w:r>
          </w:p>
        </w:tc>
      </w:tr>
      <w:tr w:rsidR="00DA1C8A" w:rsidRPr="00DA1C8A" w14:paraId="1F1099AF" w14:textId="77777777" w:rsidTr="00DA1C8A">
        <w:trPr>
          <w:trHeight w:val="396"/>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14:paraId="0E8AE617" w14:textId="77777777" w:rsidR="00DA1C8A" w:rsidRPr="00DA1C8A" w:rsidRDefault="00DA1C8A" w:rsidP="00DA1C8A">
            <w:pP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CFT</w:t>
            </w:r>
          </w:p>
        </w:tc>
        <w:tc>
          <w:tcPr>
            <w:tcW w:w="1984" w:type="dxa"/>
            <w:tcBorders>
              <w:top w:val="nil"/>
              <w:left w:val="nil"/>
              <w:bottom w:val="single" w:sz="4" w:space="0" w:color="auto"/>
              <w:right w:val="single" w:sz="4" w:space="0" w:color="auto"/>
            </w:tcBorders>
            <w:shd w:val="clear" w:color="auto" w:fill="auto"/>
            <w:noWrap/>
            <w:vAlign w:val="center"/>
            <w:hideMark/>
          </w:tcPr>
          <w:p w14:paraId="01A9BDBA" w14:textId="6CF848E9"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132</w:t>
            </w:r>
            <w:r>
              <w:rPr>
                <w:rFonts w:ascii="Palatino Linotype" w:eastAsia="Times New Roman" w:hAnsi="Palatino Linotype" w:cs="Times New Roman"/>
                <w:color w:val="000000"/>
                <w:sz w:val="22"/>
                <w:szCs w:val="22"/>
                <w:lang w:val="es-CL"/>
              </w:rPr>
              <w:t>.</w:t>
            </w:r>
            <w:r w:rsidRPr="00DA1C8A">
              <w:rPr>
                <w:rFonts w:ascii="Palatino Linotype" w:eastAsia="Times New Roman" w:hAnsi="Palatino Linotype" w:cs="Times New Roman"/>
                <w:color w:val="000000"/>
                <w:sz w:val="22"/>
                <w:szCs w:val="22"/>
                <w:lang w:val="es-CL"/>
              </w:rPr>
              <w:t>541</w:t>
            </w:r>
          </w:p>
        </w:tc>
        <w:tc>
          <w:tcPr>
            <w:tcW w:w="1801" w:type="dxa"/>
            <w:tcBorders>
              <w:top w:val="nil"/>
              <w:left w:val="nil"/>
              <w:bottom w:val="single" w:sz="4" w:space="0" w:color="auto"/>
              <w:right w:val="single" w:sz="4" w:space="0" w:color="auto"/>
            </w:tcBorders>
            <w:shd w:val="clear" w:color="auto" w:fill="auto"/>
            <w:noWrap/>
            <w:vAlign w:val="center"/>
            <w:hideMark/>
          </w:tcPr>
          <w:p w14:paraId="67E032FA" w14:textId="77777777"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11%</w:t>
            </w:r>
          </w:p>
        </w:tc>
      </w:tr>
      <w:tr w:rsidR="00DA1C8A" w:rsidRPr="00DA1C8A" w14:paraId="507AAB75" w14:textId="77777777" w:rsidTr="00DA1C8A">
        <w:trPr>
          <w:trHeight w:val="396"/>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14:paraId="5AE48CFD" w14:textId="77777777" w:rsidR="00DA1C8A" w:rsidRPr="00DA1C8A" w:rsidRDefault="00DA1C8A" w:rsidP="00DA1C8A">
            <w:pP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IP</w:t>
            </w:r>
          </w:p>
        </w:tc>
        <w:tc>
          <w:tcPr>
            <w:tcW w:w="1984" w:type="dxa"/>
            <w:tcBorders>
              <w:top w:val="nil"/>
              <w:left w:val="nil"/>
              <w:bottom w:val="single" w:sz="4" w:space="0" w:color="auto"/>
              <w:right w:val="single" w:sz="4" w:space="0" w:color="auto"/>
            </w:tcBorders>
            <w:shd w:val="clear" w:color="auto" w:fill="auto"/>
            <w:noWrap/>
            <w:vAlign w:val="center"/>
            <w:hideMark/>
          </w:tcPr>
          <w:p w14:paraId="0D01AB84" w14:textId="0C11FCBF"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371</w:t>
            </w:r>
            <w:r>
              <w:rPr>
                <w:rFonts w:ascii="Palatino Linotype" w:eastAsia="Times New Roman" w:hAnsi="Palatino Linotype" w:cs="Times New Roman"/>
                <w:color w:val="000000"/>
                <w:sz w:val="22"/>
                <w:szCs w:val="22"/>
                <w:lang w:val="es-CL"/>
              </w:rPr>
              <w:t>.</w:t>
            </w:r>
            <w:r w:rsidRPr="00DA1C8A">
              <w:rPr>
                <w:rFonts w:ascii="Palatino Linotype" w:eastAsia="Times New Roman" w:hAnsi="Palatino Linotype" w:cs="Times New Roman"/>
                <w:color w:val="000000"/>
                <w:sz w:val="22"/>
                <w:szCs w:val="22"/>
                <w:lang w:val="es-CL"/>
              </w:rPr>
              <w:t>985</w:t>
            </w:r>
          </w:p>
        </w:tc>
        <w:tc>
          <w:tcPr>
            <w:tcW w:w="1801" w:type="dxa"/>
            <w:tcBorders>
              <w:top w:val="nil"/>
              <w:left w:val="nil"/>
              <w:bottom w:val="single" w:sz="4" w:space="0" w:color="auto"/>
              <w:right w:val="single" w:sz="4" w:space="0" w:color="auto"/>
            </w:tcBorders>
            <w:shd w:val="clear" w:color="auto" w:fill="auto"/>
            <w:noWrap/>
            <w:vAlign w:val="center"/>
            <w:hideMark/>
          </w:tcPr>
          <w:p w14:paraId="141DA61F" w14:textId="77777777"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30%</w:t>
            </w:r>
          </w:p>
        </w:tc>
      </w:tr>
      <w:tr w:rsidR="00DA1C8A" w:rsidRPr="00DA1C8A" w14:paraId="3D417A3F" w14:textId="77777777" w:rsidTr="00DA1C8A">
        <w:trPr>
          <w:trHeight w:val="396"/>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14:paraId="0D108A30" w14:textId="77777777" w:rsidR="00DA1C8A" w:rsidRPr="00DA1C8A" w:rsidRDefault="00DA1C8A" w:rsidP="00DA1C8A">
            <w:pP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Universidades</w:t>
            </w:r>
          </w:p>
        </w:tc>
        <w:tc>
          <w:tcPr>
            <w:tcW w:w="1984" w:type="dxa"/>
            <w:tcBorders>
              <w:top w:val="nil"/>
              <w:left w:val="nil"/>
              <w:bottom w:val="single" w:sz="4" w:space="0" w:color="auto"/>
              <w:right w:val="single" w:sz="4" w:space="0" w:color="auto"/>
            </w:tcBorders>
            <w:shd w:val="clear" w:color="auto" w:fill="auto"/>
            <w:noWrap/>
            <w:vAlign w:val="center"/>
            <w:hideMark/>
          </w:tcPr>
          <w:p w14:paraId="4E920F61" w14:textId="2919E6A8"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722</w:t>
            </w:r>
            <w:r>
              <w:rPr>
                <w:rFonts w:ascii="Palatino Linotype" w:eastAsia="Times New Roman" w:hAnsi="Palatino Linotype" w:cs="Times New Roman"/>
                <w:color w:val="000000"/>
                <w:sz w:val="22"/>
                <w:szCs w:val="22"/>
                <w:lang w:val="es-CL"/>
              </w:rPr>
              <w:t>.</w:t>
            </w:r>
            <w:r w:rsidRPr="00DA1C8A">
              <w:rPr>
                <w:rFonts w:ascii="Palatino Linotype" w:eastAsia="Times New Roman" w:hAnsi="Palatino Linotype" w:cs="Times New Roman"/>
                <w:color w:val="000000"/>
                <w:sz w:val="22"/>
                <w:szCs w:val="22"/>
                <w:lang w:val="es-CL"/>
              </w:rPr>
              <w:t>741</w:t>
            </w:r>
          </w:p>
        </w:tc>
        <w:tc>
          <w:tcPr>
            <w:tcW w:w="1801" w:type="dxa"/>
            <w:tcBorders>
              <w:top w:val="nil"/>
              <w:left w:val="nil"/>
              <w:bottom w:val="single" w:sz="4" w:space="0" w:color="auto"/>
              <w:right w:val="single" w:sz="4" w:space="0" w:color="auto"/>
            </w:tcBorders>
            <w:shd w:val="clear" w:color="auto" w:fill="auto"/>
            <w:noWrap/>
            <w:vAlign w:val="center"/>
            <w:hideMark/>
          </w:tcPr>
          <w:p w14:paraId="5464E211" w14:textId="77777777"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59%</w:t>
            </w:r>
          </w:p>
        </w:tc>
      </w:tr>
      <w:tr w:rsidR="00DA1C8A" w:rsidRPr="00DA1C8A" w14:paraId="616EA68D" w14:textId="77777777" w:rsidTr="00DA1C8A">
        <w:trPr>
          <w:trHeight w:val="396"/>
        </w:trPr>
        <w:tc>
          <w:tcPr>
            <w:tcW w:w="2352" w:type="dxa"/>
            <w:tcBorders>
              <w:top w:val="nil"/>
              <w:left w:val="single" w:sz="4" w:space="0" w:color="auto"/>
              <w:bottom w:val="single" w:sz="4" w:space="0" w:color="auto"/>
              <w:right w:val="single" w:sz="4" w:space="0" w:color="auto"/>
            </w:tcBorders>
            <w:shd w:val="clear" w:color="auto" w:fill="auto"/>
            <w:noWrap/>
            <w:vAlign w:val="center"/>
            <w:hideMark/>
          </w:tcPr>
          <w:p w14:paraId="13FB9516" w14:textId="77777777" w:rsidR="00DA1C8A" w:rsidRPr="00DA1C8A" w:rsidRDefault="00DA1C8A" w:rsidP="00DA1C8A">
            <w:pP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Total</w:t>
            </w:r>
          </w:p>
        </w:tc>
        <w:tc>
          <w:tcPr>
            <w:tcW w:w="1984" w:type="dxa"/>
            <w:tcBorders>
              <w:top w:val="nil"/>
              <w:left w:val="nil"/>
              <w:bottom w:val="single" w:sz="4" w:space="0" w:color="auto"/>
              <w:right w:val="single" w:sz="4" w:space="0" w:color="auto"/>
            </w:tcBorders>
            <w:shd w:val="clear" w:color="auto" w:fill="auto"/>
            <w:noWrap/>
            <w:vAlign w:val="center"/>
            <w:hideMark/>
          </w:tcPr>
          <w:p w14:paraId="35932A6F" w14:textId="192BB606"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1</w:t>
            </w:r>
            <w:r>
              <w:rPr>
                <w:rFonts w:ascii="Palatino Linotype" w:eastAsia="Times New Roman" w:hAnsi="Palatino Linotype" w:cs="Times New Roman"/>
                <w:color w:val="000000"/>
                <w:sz w:val="22"/>
                <w:szCs w:val="22"/>
                <w:lang w:val="es-CL"/>
              </w:rPr>
              <w:t>.</w:t>
            </w:r>
            <w:r w:rsidRPr="00DA1C8A">
              <w:rPr>
                <w:rFonts w:ascii="Palatino Linotype" w:eastAsia="Times New Roman" w:hAnsi="Palatino Linotype" w:cs="Times New Roman"/>
                <w:color w:val="000000"/>
                <w:sz w:val="22"/>
                <w:szCs w:val="22"/>
                <w:lang w:val="es-CL"/>
              </w:rPr>
              <w:t>227</w:t>
            </w:r>
            <w:r>
              <w:rPr>
                <w:rFonts w:ascii="Palatino Linotype" w:eastAsia="Times New Roman" w:hAnsi="Palatino Linotype" w:cs="Times New Roman"/>
                <w:color w:val="000000"/>
                <w:sz w:val="22"/>
                <w:szCs w:val="22"/>
                <w:lang w:val="es-CL"/>
              </w:rPr>
              <w:t>.</w:t>
            </w:r>
            <w:r w:rsidRPr="00DA1C8A">
              <w:rPr>
                <w:rFonts w:ascii="Palatino Linotype" w:eastAsia="Times New Roman" w:hAnsi="Palatino Linotype" w:cs="Times New Roman"/>
                <w:color w:val="000000"/>
                <w:sz w:val="22"/>
                <w:szCs w:val="22"/>
                <w:lang w:val="es-CL"/>
              </w:rPr>
              <w:t>267</w:t>
            </w:r>
          </w:p>
        </w:tc>
        <w:tc>
          <w:tcPr>
            <w:tcW w:w="1801" w:type="dxa"/>
            <w:tcBorders>
              <w:top w:val="nil"/>
              <w:left w:val="nil"/>
              <w:bottom w:val="single" w:sz="4" w:space="0" w:color="auto"/>
              <w:right w:val="single" w:sz="4" w:space="0" w:color="auto"/>
            </w:tcBorders>
            <w:shd w:val="clear" w:color="auto" w:fill="auto"/>
            <w:noWrap/>
            <w:vAlign w:val="center"/>
            <w:hideMark/>
          </w:tcPr>
          <w:p w14:paraId="69CFBC10" w14:textId="77777777" w:rsidR="00DA1C8A" w:rsidRPr="00DA1C8A" w:rsidRDefault="00DA1C8A" w:rsidP="00DA1C8A">
            <w:pPr>
              <w:jc w:val="center"/>
              <w:rPr>
                <w:rFonts w:ascii="Palatino Linotype" w:eastAsia="Times New Roman" w:hAnsi="Palatino Linotype" w:cs="Times New Roman"/>
                <w:color w:val="000000"/>
                <w:sz w:val="22"/>
                <w:szCs w:val="22"/>
                <w:lang w:val="es-CL"/>
              </w:rPr>
            </w:pPr>
            <w:r w:rsidRPr="00DA1C8A">
              <w:rPr>
                <w:rFonts w:ascii="Palatino Linotype" w:eastAsia="Times New Roman" w:hAnsi="Palatino Linotype" w:cs="Times New Roman"/>
                <w:color w:val="000000"/>
                <w:sz w:val="22"/>
                <w:szCs w:val="22"/>
                <w:lang w:val="es-CL"/>
              </w:rPr>
              <w:t>100%</w:t>
            </w:r>
          </w:p>
        </w:tc>
      </w:tr>
    </w:tbl>
    <w:p w14:paraId="532EE53D" w14:textId="363CED98" w:rsidR="00DA1C8A" w:rsidRDefault="00DA1C8A" w:rsidP="005315ED">
      <w:pPr>
        <w:jc w:val="both"/>
        <w:rPr>
          <w:rFonts w:ascii="Palatino Linotype" w:hAnsi="Palatino Linotype"/>
        </w:rPr>
      </w:pPr>
      <w:r>
        <w:rPr>
          <w:rFonts w:ascii="Palatino Linotype" w:hAnsi="Palatino Linotype"/>
        </w:rPr>
        <w:t>Fuente: Elaboración propia en base a datos de CNED.</w:t>
      </w:r>
    </w:p>
    <w:p w14:paraId="78664C2D" w14:textId="77777777" w:rsidR="0073250E" w:rsidRDefault="0073250E" w:rsidP="005315ED">
      <w:pPr>
        <w:jc w:val="both"/>
        <w:rPr>
          <w:rFonts w:ascii="Palatino Linotype" w:hAnsi="Palatino Linotype"/>
        </w:rPr>
      </w:pPr>
    </w:p>
    <w:p w14:paraId="07855263" w14:textId="5D85951D" w:rsidR="0073250E" w:rsidRDefault="0073250E" w:rsidP="005315ED">
      <w:pPr>
        <w:jc w:val="both"/>
        <w:rPr>
          <w:rFonts w:ascii="Palatino Linotype" w:hAnsi="Palatino Linotype"/>
        </w:rPr>
      </w:pPr>
      <w:r>
        <w:rPr>
          <w:rFonts w:ascii="Palatino Linotype" w:hAnsi="Palatino Linotype"/>
        </w:rPr>
        <w:t>La matrícula de estudiantes de 1er año, que son quienes entran a la educación superior, fue de 344 mil estudiantes en 2017, registrando una caída de 0,8% respecto a 2016. Esta caída se explica por una disminución de matriculados en IPs y CFTs (-4,2% y 0,8% respecto a 2016, respectivamente). No obstante, los matriculados de primer año en universidades aumentaron durante 2017 (se vio un aumento de 1,9% respecto a 2016). Desde el 2006 (primer año con el que se tienen datos) a la fecha, la matrícula de 1er año en IES ha aumentado un 56%.</w:t>
      </w:r>
    </w:p>
    <w:p w14:paraId="68B83943" w14:textId="77777777" w:rsidR="0073250E" w:rsidRDefault="0073250E" w:rsidP="005315ED">
      <w:pPr>
        <w:jc w:val="both"/>
        <w:rPr>
          <w:rFonts w:ascii="Palatino Linotype" w:hAnsi="Palatino Linotype"/>
        </w:rPr>
      </w:pPr>
    </w:p>
    <w:p w14:paraId="2CC35AF8" w14:textId="634824E7" w:rsidR="0073250E" w:rsidRDefault="0073250E" w:rsidP="005315ED">
      <w:pPr>
        <w:jc w:val="both"/>
        <w:rPr>
          <w:rFonts w:ascii="Palatino Linotype" w:hAnsi="Palatino Linotype"/>
        </w:rPr>
      </w:pPr>
      <w:r>
        <w:rPr>
          <w:rFonts w:ascii="Palatino Linotype" w:hAnsi="Palatino Linotype"/>
        </w:rPr>
        <w:t xml:space="preserve">En la tabla siguiente, se muestra la matrícula de estudiantes de 1er año, por tipo de institución, desde el año 2006 al 2017. Asimismo, </w:t>
      </w:r>
      <w:r w:rsidR="00F61B06">
        <w:rPr>
          <w:rFonts w:ascii="Palatino Linotype" w:hAnsi="Palatino Linotype"/>
        </w:rPr>
        <w:t>la ilustración</w:t>
      </w:r>
      <w:r>
        <w:rPr>
          <w:rFonts w:ascii="Palatino Linotype" w:hAnsi="Palatino Linotype"/>
        </w:rPr>
        <w:t xml:space="preserve"> 1 resume est</w:t>
      </w:r>
      <w:r w:rsidR="00F61B06">
        <w:rPr>
          <w:rFonts w:ascii="Palatino Linotype" w:hAnsi="Palatino Linotype"/>
        </w:rPr>
        <w:t xml:space="preserve">a </w:t>
      </w:r>
      <w:r>
        <w:rPr>
          <w:rFonts w:ascii="Palatino Linotype" w:hAnsi="Palatino Linotype"/>
        </w:rPr>
        <w:t>información.</w:t>
      </w:r>
    </w:p>
    <w:p w14:paraId="3814B3E8" w14:textId="77777777" w:rsidR="0073250E" w:rsidRPr="00B03F58" w:rsidRDefault="0073250E" w:rsidP="00B03F58">
      <w:pPr>
        <w:pStyle w:val="Epgrafe"/>
        <w:keepNext/>
        <w:rPr>
          <w:rFonts w:ascii="Palatino Linotype" w:hAnsi="Palatino Linotype"/>
          <w:color w:val="auto"/>
          <w:sz w:val="22"/>
        </w:rPr>
      </w:pPr>
    </w:p>
    <w:p w14:paraId="51397C64" w14:textId="0470E2D1" w:rsidR="00B03F58" w:rsidRPr="00B03F58" w:rsidRDefault="00B03F58" w:rsidP="00B03F58">
      <w:pPr>
        <w:pStyle w:val="Epgrafe"/>
        <w:keepNext/>
        <w:rPr>
          <w:rFonts w:ascii="Palatino Linotype" w:hAnsi="Palatino Linotype"/>
          <w:color w:val="auto"/>
          <w:sz w:val="22"/>
        </w:rPr>
      </w:pPr>
      <w:bookmarkStart w:id="10" w:name="_Toc391553469"/>
      <w:r w:rsidRPr="00B03F58">
        <w:rPr>
          <w:rFonts w:ascii="Palatino Linotype" w:hAnsi="Palatino Linotype"/>
          <w:color w:val="auto"/>
          <w:sz w:val="22"/>
        </w:rPr>
        <w:t xml:space="preserve">Tabla </w:t>
      </w:r>
      <w:r w:rsidRPr="00B03F58">
        <w:rPr>
          <w:rFonts w:ascii="Palatino Linotype" w:hAnsi="Palatino Linotype"/>
          <w:color w:val="auto"/>
          <w:sz w:val="22"/>
        </w:rPr>
        <w:fldChar w:fldCharType="begin"/>
      </w:r>
      <w:r w:rsidRPr="00B03F58">
        <w:rPr>
          <w:rFonts w:ascii="Palatino Linotype" w:hAnsi="Palatino Linotype"/>
          <w:color w:val="auto"/>
          <w:sz w:val="22"/>
        </w:rPr>
        <w:instrText xml:space="preserve"> SEQ Tabla \* ARABIC </w:instrText>
      </w:r>
      <w:r w:rsidRPr="00B03F58">
        <w:rPr>
          <w:rFonts w:ascii="Palatino Linotype" w:hAnsi="Palatino Linotype"/>
          <w:color w:val="auto"/>
          <w:sz w:val="22"/>
        </w:rPr>
        <w:fldChar w:fldCharType="separate"/>
      </w:r>
      <w:r w:rsidR="00DC1EC1">
        <w:rPr>
          <w:rFonts w:ascii="Palatino Linotype" w:hAnsi="Palatino Linotype"/>
          <w:noProof/>
          <w:color w:val="auto"/>
          <w:sz w:val="22"/>
        </w:rPr>
        <w:t>3</w:t>
      </w:r>
      <w:r w:rsidRPr="00B03F58">
        <w:rPr>
          <w:rFonts w:ascii="Palatino Linotype" w:hAnsi="Palatino Linotype"/>
          <w:color w:val="auto"/>
          <w:sz w:val="22"/>
        </w:rPr>
        <w:fldChar w:fldCharType="end"/>
      </w:r>
      <w:r w:rsidRPr="00B03F58">
        <w:rPr>
          <w:rFonts w:ascii="Palatino Linotype" w:hAnsi="Palatino Linotype"/>
          <w:color w:val="auto"/>
          <w:sz w:val="22"/>
        </w:rPr>
        <w:t>: Matrícula estudiantes de 1er año por IES (miles/año)</w:t>
      </w:r>
      <w:bookmarkEnd w:id="10"/>
    </w:p>
    <w:tbl>
      <w:tblPr>
        <w:tblW w:w="9825" w:type="dxa"/>
        <w:tblInd w:w="-214" w:type="dxa"/>
        <w:tblLayout w:type="fixed"/>
        <w:tblCellMar>
          <w:left w:w="70" w:type="dxa"/>
          <w:right w:w="70" w:type="dxa"/>
        </w:tblCellMar>
        <w:tblLook w:val="04A0" w:firstRow="1" w:lastRow="0" w:firstColumn="1" w:lastColumn="0" w:noHBand="0" w:noVBand="1"/>
      </w:tblPr>
      <w:tblGrid>
        <w:gridCol w:w="1285"/>
        <w:gridCol w:w="897"/>
        <w:gridCol w:w="693"/>
        <w:gridCol w:w="693"/>
        <w:gridCol w:w="693"/>
        <w:gridCol w:w="693"/>
        <w:gridCol w:w="693"/>
        <w:gridCol w:w="693"/>
        <w:gridCol w:w="693"/>
        <w:gridCol w:w="693"/>
        <w:gridCol w:w="693"/>
        <w:gridCol w:w="693"/>
        <w:gridCol w:w="713"/>
      </w:tblGrid>
      <w:tr w:rsidR="00B03F58" w:rsidRPr="0073250E" w14:paraId="2675A01E" w14:textId="77777777" w:rsidTr="000C7ECA">
        <w:trPr>
          <w:trHeight w:val="1258"/>
        </w:trPr>
        <w:tc>
          <w:tcPr>
            <w:tcW w:w="1285" w:type="dxa"/>
            <w:tcBorders>
              <w:top w:val="single" w:sz="4" w:space="0" w:color="auto"/>
              <w:left w:val="single" w:sz="4" w:space="0" w:color="auto"/>
              <w:bottom w:val="single" w:sz="4" w:space="0" w:color="auto"/>
              <w:right w:val="single" w:sz="4" w:space="0" w:color="auto"/>
            </w:tcBorders>
            <w:shd w:val="clear" w:color="000000" w:fill="1F497D" w:themeFill="text2"/>
            <w:vAlign w:val="center"/>
            <w:hideMark/>
          </w:tcPr>
          <w:p w14:paraId="002A0473"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Matrícula de 1er año (miles)</w:t>
            </w:r>
          </w:p>
        </w:tc>
        <w:tc>
          <w:tcPr>
            <w:tcW w:w="897"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66F9529E"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2006</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05E36300"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2007</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7F59B291"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2008</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2F244E07"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2009</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1ED22502"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2010</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7EE2759F"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2011</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50C741EE"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2012</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07393A54"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2013</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397F6D73"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2014</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6896B2CF"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2015</w:t>
            </w:r>
          </w:p>
        </w:tc>
        <w:tc>
          <w:tcPr>
            <w:tcW w:w="69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7856ADD3"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2016</w:t>
            </w:r>
          </w:p>
        </w:tc>
        <w:tc>
          <w:tcPr>
            <w:tcW w:w="713" w:type="dxa"/>
            <w:tcBorders>
              <w:top w:val="single" w:sz="4" w:space="0" w:color="auto"/>
              <w:left w:val="nil"/>
              <w:bottom w:val="single" w:sz="4" w:space="0" w:color="auto"/>
              <w:right w:val="single" w:sz="4" w:space="0" w:color="auto"/>
            </w:tcBorders>
            <w:shd w:val="clear" w:color="000000" w:fill="1F497D" w:themeFill="text2"/>
            <w:noWrap/>
            <w:vAlign w:val="center"/>
            <w:hideMark/>
          </w:tcPr>
          <w:p w14:paraId="305776CF" w14:textId="77777777" w:rsidR="0073250E" w:rsidRPr="00BC614D" w:rsidRDefault="0073250E" w:rsidP="0073250E">
            <w:pPr>
              <w:jc w:val="center"/>
              <w:rPr>
                <w:rFonts w:ascii="Palatino Linotype" w:eastAsia="Times New Roman" w:hAnsi="Palatino Linotype" w:cs="Times New Roman"/>
                <w:b/>
                <w:bCs/>
                <w:color w:val="FFFFFF"/>
                <w:sz w:val="22"/>
                <w:szCs w:val="22"/>
                <w:lang w:val="es-CL"/>
              </w:rPr>
            </w:pPr>
            <w:r w:rsidRPr="00BC614D">
              <w:rPr>
                <w:rFonts w:ascii="Palatino Linotype" w:eastAsia="Times New Roman" w:hAnsi="Palatino Linotype" w:cs="Times New Roman"/>
                <w:b/>
                <w:bCs/>
                <w:color w:val="FFFFFF"/>
                <w:sz w:val="22"/>
                <w:szCs w:val="22"/>
                <w:lang w:val="es-CL"/>
              </w:rPr>
              <w:t>2017</w:t>
            </w:r>
          </w:p>
        </w:tc>
      </w:tr>
      <w:tr w:rsidR="00B03F58" w:rsidRPr="0073250E" w14:paraId="39225738" w14:textId="77777777" w:rsidTr="00B03F58">
        <w:trPr>
          <w:trHeight w:val="634"/>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098C6C3A" w14:textId="77777777" w:rsidR="0073250E" w:rsidRPr="00BC614D" w:rsidRDefault="0073250E" w:rsidP="00B03F58">
            <w:pP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C.F.T.</w:t>
            </w:r>
          </w:p>
        </w:tc>
        <w:tc>
          <w:tcPr>
            <w:tcW w:w="897" w:type="dxa"/>
            <w:tcBorders>
              <w:top w:val="nil"/>
              <w:left w:val="nil"/>
              <w:bottom w:val="single" w:sz="4" w:space="0" w:color="auto"/>
              <w:right w:val="single" w:sz="4" w:space="0" w:color="auto"/>
            </w:tcBorders>
            <w:shd w:val="clear" w:color="auto" w:fill="auto"/>
            <w:noWrap/>
            <w:vAlign w:val="center"/>
            <w:hideMark/>
          </w:tcPr>
          <w:p w14:paraId="6B20B1ED"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37</w:t>
            </w:r>
          </w:p>
        </w:tc>
        <w:tc>
          <w:tcPr>
            <w:tcW w:w="693" w:type="dxa"/>
            <w:tcBorders>
              <w:top w:val="nil"/>
              <w:left w:val="nil"/>
              <w:bottom w:val="single" w:sz="4" w:space="0" w:color="auto"/>
              <w:right w:val="single" w:sz="4" w:space="0" w:color="auto"/>
            </w:tcBorders>
            <w:shd w:val="clear" w:color="auto" w:fill="auto"/>
            <w:noWrap/>
            <w:vAlign w:val="center"/>
            <w:hideMark/>
          </w:tcPr>
          <w:p w14:paraId="6056CE87"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43</w:t>
            </w:r>
          </w:p>
        </w:tc>
        <w:tc>
          <w:tcPr>
            <w:tcW w:w="693" w:type="dxa"/>
            <w:tcBorders>
              <w:top w:val="nil"/>
              <w:left w:val="nil"/>
              <w:bottom w:val="single" w:sz="4" w:space="0" w:color="auto"/>
              <w:right w:val="single" w:sz="4" w:space="0" w:color="auto"/>
            </w:tcBorders>
            <w:shd w:val="clear" w:color="auto" w:fill="auto"/>
            <w:noWrap/>
            <w:vAlign w:val="center"/>
            <w:hideMark/>
          </w:tcPr>
          <w:p w14:paraId="7D3DED93"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47</w:t>
            </w:r>
          </w:p>
        </w:tc>
        <w:tc>
          <w:tcPr>
            <w:tcW w:w="693" w:type="dxa"/>
            <w:tcBorders>
              <w:top w:val="nil"/>
              <w:left w:val="nil"/>
              <w:bottom w:val="single" w:sz="4" w:space="0" w:color="auto"/>
              <w:right w:val="single" w:sz="4" w:space="0" w:color="auto"/>
            </w:tcBorders>
            <w:shd w:val="clear" w:color="auto" w:fill="auto"/>
            <w:noWrap/>
            <w:vAlign w:val="center"/>
            <w:hideMark/>
          </w:tcPr>
          <w:p w14:paraId="4BD02D1E"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51</w:t>
            </w:r>
          </w:p>
        </w:tc>
        <w:tc>
          <w:tcPr>
            <w:tcW w:w="693" w:type="dxa"/>
            <w:tcBorders>
              <w:top w:val="nil"/>
              <w:left w:val="nil"/>
              <w:bottom w:val="single" w:sz="4" w:space="0" w:color="auto"/>
              <w:right w:val="single" w:sz="4" w:space="0" w:color="auto"/>
            </w:tcBorders>
            <w:shd w:val="clear" w:color="auto" w:fill="auto"/>
            <w:noWrap/>
            <w:vAlign w:val="center"/>
            <w:hideMark/>
          </w:tcPr>
          <w:p w14:paraId="0C5FB689"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61</w:t>
            </w:r>
          </w:p>
        </w:tc>
        <w:tc>
          <w:tcPr>
            <w:tcW w:w="693" w:type="dxa"/>
            <w:tcBorders>
              <w:top w:val="nil"/>
              <w:left w:val="nil"/>
              <w:bottom w:val="single" w:sz="4" w:space="0" w:color="auto"/>
              <w:right w:val="single" w:sz="4" w:space="0" w:color="auto"/>
            </w:tcBorders>
            <w:shd w:val="clear" w:color="auto" w:fill="auto"/>
            <w:noWrap/>
            <w:vAlign w:val="center"/>
            <w:hideMark/>
          </w:tcPr>
          <w:p w14:paraId="4EEA690E"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63</w:t>
            </w:r>
          </w:p>
        </w:tc>
        <w:tc>
          <w:tcPr>
            <w:tcW w:w="693" w:type="dxa"/>
            <w:tcBorders>
              <w:top w:val="nil"/>
              <w:left w:val="nil"/>
              <w:bottom w:val="single" w:sz="4" w:space="0" w:color="auto"/>
              <w:right w:val="single" w:sz="4" w:space="0" w:color="auto"/>
            </w:tcBorders>
            <w:shd w:val="clear" w:color="auto" w:fill="auto"/>
            <w:noWrap/>
            <w:vAlign w:val="center"/>
            <w:hideMark/>
          </w:tcPr>
          <w:p w14:paraId="11CD1C46"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61</w:t>
            </w:r>
          </w:p>
        </w:tc>
        <w:tc>
          <w:tcPr>
            <w:tcW w:w="693" w:type="dxa"/>
            <w:tcBorders>
              <w:top w:val="nil"/>
              <w:left w:val="nil"/>
              <w:bottom w:val="single" w:sz="4" w:space="0" w:color="auto"/>
              <w:right w:val="single" w:sz="4" w:space="0" w:color="auto"/>
            </w:tcBorders>
            <w:shd w:val="clear" w:color="auto" w:fill="auto"/>
            <w:noWrap/>
            <w:vAlign w:val="center"/>
            <w:hideMark/>
          </w:tcPr>
          <w:p w14:paraId="04C26946"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64</w:t>
            </w:r>
          </w:p>
        </w:tc>
        <w:tc>
          <w:tcPr>
            <w:tcW w:w="693" w:type="dxa"/>
            <w:tcBorders>
              <w:top w:val="nil"/>
              <w:left w:val="nil"/>
              <w:bottom w:val="single" w:sz="4" w:space="0" w:color="auto"/>
              <w:right w:val="single" w:sz="4" w:space="0" w:color="auto"/>
            </w:tcBorders>
            <w:shd w:val="clear" w:color="auto" w:fill="auto"/>
            <w:noWrap/>
            <w:vAlign w:val="center"/>
            <w:hideMark/>
          </w:tcPr>
          <w:p w14:paraId="314D4C9E"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66</w:t>
            </w:r>
          </w:p>
        </w:tc>
        <w:tc>
          <w:tcPr>
            <w:tcW w:w="693" w:type="dxa"/>
            <w:tcBorders>
              <w:top w:val="nil"/>
              <w:left w:val="nil"/>
              <w:bottom w:val="single" w:sz="4" w:space="0" w:color="auto"/>
              <w:right w:val="single" w:sz="4" w:space="0" w:color="auto"/>
            </w:tcBorders>
            <w:shd w:val="clear" w:color="auto" w:fill="auto"/>
            <w:noWrap/>
            <w:vAlign w:val="center"/>
            <w:hideMark/>
          </w:tcPr>
          <w:p w14:paraId="7D8106FC"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63</w:t>
            </w:r>
          </w:p>
        </w:tc>
        <w:tc>
          <w:tcPr>
            <w:tcW w:w="693" w:type="dxa"/>
            <w:tcBorders>
              <w:top w:val="nil"/>
              <w:left w:val="nil"/>
              <w:bottom w:val="single" w:sz="4" w:space="0" w:color="auto"/>
              <w:right w:val="single" w:sz="4" w:space="0" w:color="auto"/>
            </w:tcBorders>
            <w:shd w:val="clear" w:color="auto" w:fill="auto"/>
            <w:noWrap/>
            <w:vAlign w:val="center"/>
            <w:hideMark/>
          </w:tcPr>
          <w:p w14:paraId="59F5FD96"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59</w:t>
            </w:r>
          </w:p>
        </w:tc>
        <w:tc>
          <w:tcPr>
            <w:tcW w:w="713" w:type="dxa"/>
            <w:tcBorders>
              <w:top w:val="nil"/>
              <w:left w:val="nil"/>
              <w:bottom w:val="single" w:sz="4" w:space="0" w:color="auto"/>
              <w:right w:val="single" w:sz="4" w:space="0" w:color="auto"/>
            </w:tcBorders>
            <w:shd w:val="clear" w:color="auto" w:fill="auto"/>
            <w:noWrap/>
            <w:vAlign w:val="center"/>
            <w:hideMark/>
          </w:tcPr>
          <w:p w14:paraId="4D0E501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59</w:t>
            </w:r>
          </w:p>
        </w:tc>
      </w:tr>
      <w:tr w:rsidR="00B03F58" w:rsidRPr="0073250E" w14:paraId="77FF7D5D" w14:textId="77777777" w:rsidTr="00B03F58">
        <w:trPr>
          <w:trHeight w:val="634"/>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7578DE46" w14:textId="77777777" w:rsidR="0073250E" w:rsidRPr="00BC614D" w:rsidRDefault="0073250E" w:rsidP="00B03F58">
            <w:pP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I.P.</w:t>
            </w:r>
          </w:p>
        </w:tc>
        <w:tc>
          <w:tcPr>
            <w:tcW w:w="897" w:type="dxa"/>
            <w:tcBorders>
              <w:top w:val="nil"/>
              <w:left w:val="nil"/>
              <w:bottom w:val="single" w:sz="4" w:space="0" w:color="auto"/>
              <w:right w:val="single" w:sz="4" w:space="0" w:color="auto"/>
            </w:tcBorders>
            <w:shd w:val="clear" w:color="auto" w:fill="auto"/>
            <w:noWrap/>
            <w:vAlign w:val="center"/>
            <w:hideMark/>
          </w:tcPr>
          <w:p w14:paraId="38F428F4"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56</w:t>
            </w:r>
          </w:p>
        </w:tc>
        <w:tc>
          <w:tcPr>
            <w:tcW w:w="693" w:type="dxa"/>
            <w:tcBorders>
              <w:top w:val="nil"/>
              <w:left w:val="nil"/>
              <w:bottom w:val="single" w:sz="4" w:space="0" w:color="auto"/>
              <w:right w:val="single" w:sz="4" w:space="0" w:color="auto"/>
            </w:tcBorders>
            <w:shd w:val="clear" w:color="auto" w:fill="auto"/>
            <w:noWrap/>
            <w:vAlign w:val="center"/>
            <w:hideMark/>
          </w:tcPr>
          <w:p w14:paraId="09D3E67F"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61</w:t>
            </w:r>
          </w:p>
        </w:tc>
        <w:tc>
          <w:tcPr>
            <w:tcW w:w="693" w:type="dxa"/>
            <w:tcBorders>
              <w:top w:val="nil"/>
              <w:left w:val="nil"/>
              <w:bottom w:val="single" w:sz="4" w:space="0" w:color="auto"/>
              <w:right w:val="single" w:sz="4" w:space="0" w:color="auto"/>
            </w:tcBorders>
            <w:shd w:val="clear" w:color="auto" w:fill="auto"/>
            <w:noWrap/>
            <w:vAlign w:val="center"/>
            <w:hideMark/>
          </w:tcPr>
          <w:p w14:paraId="213E3F0D"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67</w:t>
            </w:r>
          </w:p>
        </w:tc>
        <w:tc>
          <w:tcPr>
            <w:tcW w:w="693" w:type="dxa"/>
            <w:tcBorders>
              <w:top w:val="nil"/>
              <w:left w:val="nil"/>
              <w:bottom w:val="single" w:sz="4" w:space="0" w:color="auto"/>
              <w:right w:val="single" w:sz="4" w:space="0" w:color="auto"/>
            </w:tcBorders>
            <w:shd w:val="clear" w:color="auto" w:fill="auto"/>
            <w:noWrap/>
            <w:vAlign w:val="center"/>
            <w:hideMark/>
          </w:tcPr>
          <w:p w14:paraId="6C058FF1"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77</w:t>
            </w:r>
          </w:p>
        </w:tc>
        <w:tc>
          <w:tcPr>
            <w:tcW w:w="693" w:type="dxa"/>
            <w:tcBorders>
              <w:top w:val="nil"/>
              <w:left w:val="nil"/>
              <w:bottom w:val="single" w:sz="4" w:space="0" w:color="auto"/>
              <w:right w:val="single" w:sz="4" w:space="0" w:color="auto"/>
            </w:tcBorders>
            <w:shd w:val="clear" w:color="auto" w:fill="auto"/>
            <w:noWrap/>
            <w:vAlign w:val="center"/>
            <w:hideMark/>
          </w:tcPr>
          <w:p w14:paraId="2C6FEF9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93</w:t>
            </w:r>
          </w:p>
        </w:tc>
        <w:tc>
          <w:tcPr>
            <w:tcW w:w="693" w:type="dxa"/>
            <w:tcBorders>
              <w:top w:val="nil"/>
              <w:left w:val="nil"/>
              <w:bottom w:val="single" w:sz="4" w:space="0" w:color="auto"/>
              <w:right w:val="single" w:sz="4" w:space="0" w:color="auto"/>
            </w:tcBorders>
            <w:shd w:val="clear" w:color="auto" w:fill="auto"/>
            <w:noWrap/>
            <w:vAlign w:val="center"/>
            <w:hideMark/>
          </w:tcPr>
          <w:p w14:paraId="5D462713"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103</w:t>
            </w:r>
          </w:p>
        </w:tc>
        <w:tc>
          <w:tcPr>
            <w:tcW w:w="693" w:type="dxa"/>
            <w:tcBorders>
              <w:top w:val="nil"/>
              <w:left w:val="nil"/>
              <w:bottom w:val="single" w:sz="4" w:space="0" w:color="auto"/>
              <w:right w:val="single" w:sz="4" w:space="0" w:color="auto"/>
            </w:tcBorders>
            <w:shd w:val="clear" w:color="auto" w:fill="auto"/>
            <w:noWrap/>
            <w:vAlign w:val="center"/>
            <w:hideMark/>
          </w:tcPr>
          <w:p w14:paraId="6755F3D8"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108</w:t>
            </w:r>
          </w:p>
        </w:tc>
        <w:tc>
          <w:tcPr>
            <w:tcW w:w="693" w:type="dxa"/>
            <w:tcBorders>
              <w:top w:val="nil"/>
              <w:left w:val="nil"/>
              <w:bottom w:val="single" w:sz="4" w:space="0" w:color="auto"/>
              <w:right w:val="single" w:sz="4" w:space="0" w:color="auto"/>
            </w:tcBorders>
            <w:shd w:val="clear" w:color="auto" w:fill="auto"/>
            <w:noWrap/>
            <w:vAlign w:val="center"/>
            <w:hideMark/>
          </w:tcPr>
          <w:p w14:paraId="67788D8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125</w:t>
            </w:r>
          </w:p>
        </w:tc>
        <w:tc>
          <w:tcPr>
            <w:tcW w:w="693" w:type="dxa"/>
            <w:tcBorders>
              <w:top w:val="nil"/>
              <w:left w:val="nil"/>
              <w:bottom w:val="single" w:sz="4" w:space="0" w:color="auto"/>
              <w:right w:val="single" w:sz="4" w:space="0" w:color="auto"/>
            </w:tcBorders>
            <w:shd w:val="clear" w:color="auto" w:fill="auto"/>
            <w:noWrap/>
            <w:vAlign w:val="center"/>
            <w:hideMark/>
          </w:tcPr>
          <w:p w14:paraId="16DAF2CD"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127</w:t>
            </w:r>
          </w:p>
        </w:tc>
        <w:tc>
          <w:tcPr>
            <w:tcW w:w="693" w:type="dxa"/>
            <w:tcBorders>
              <w:top w:val="nil"/>
              <w:left w:val="nil"/>
              <w:bottom w:val="single" w:sz="4" w:space="0" w:color="auto"/>
              <w:right w:val="single" w:sz="4" w:space="0" w:color="auto"/>
            </w:tcBorders>
            <w:shd w:val="clear" w:color="auto" w:fill="auto"/>
            <w:noWrap/>
            <w:vAlign w:val="center"/>
            <w:hideMark/>
          </w:tcPr>
          <w:p w14:paraId="68A16C2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124</w:t>
            </w:r>
          </w:p>
        </w:tc>
        <w:tc>
          <w:tcPr>
            <w:tcW w:w="693" w:type="dxa"/>
            <w:tcBorders>
              <w:top w:val="nil"/>
              <w:left w:val="nil"/>
              <w:bottom w:val="single" w:sz="4" w:space="0" w:color="auto"/>
              <w:right w:val="single" w:sz="4" w:space="0" w:color="auto"/>
            </w:tcBorders>
            <w:shd w:val="clear" w:color="auto" w:fill="auto"/>
            <w:noWrap/>
            <w:vAlign w:val="center"/>
            <w:hideMark/>
          </w:tcPr>
          <w:p w14:paraId="13BDF6AC"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125</w:t>
            </w:r>
          </w:p>
        </w:tc>
        <w:tc>
          <w:tcPr>
            <w:tcW w:w="713" w:type="dxa"/>
            <w:tcBorders>
              <w:top w:val="nil"/>
              <w:left w:val="nil"/>
              <w:bottom w:val="single" w:sz="4" w:space="0" w:color="auto"/>
              <w:right w:val="single" w:sz="4" w:space="0" w:color="auto"/>
            </w:tcBorders>
            <w:shd w:val="clear" w:color="auto" w:fill="auto"/>
            <w:noWrap/>
            <w:vAlign w:val="center"/>
            <w:hideMark/>
          </w:tcPr>
          <w:p w14:paraId="79ACDF4D"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120</w:t>
            </w:r>
          </w:p>
        </w:tc>
      </w:tr>
      <w:tr w:rsidR="00B03F58" w:rsidRPr="0073250E" w14:paraId="2130606E" w14:textId="77777777" w:rsidTr="00B03F58">
        <w:trPr>
          <w:trHeight w:val="634"/>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1F79444F" w14:textId="0ECE9D34" w:rsidR="0073250E" w:rsidRPr="00BC614D" w:rsidRDefault="0073250E" w:rsidP="00B03F58">
            <w:pP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Univ</w:t>
            </w:r>
            <w:r w:rsidR="00B03F58" w:rsidRPr="00BC614D">
              <w:rPr>
                <w:rFonts w:ascii="Palatino Linotype" w:eastAsia="Times New Roman" w:hAnsi="Palatino Linotype" w:cs="Times New Roman"/>
                <w:color w:val="000000"/>
                <w:sz w:val="22"/>
                <w:szCs w:val="22"/>
                <w:lang w:val="es-CL"/>
              </w:rPr>
              <w:t>.</w:t>
            </w:r>
          </w:p>
        </w:tc>
        <w:tc>
          <w:tcPr>
            <w:tcW w:w="897" w:type="dxa"/>
            <w:tcBorders>
              <w:top w:val="nil"/>
              <w:left w:val="nil"/>
              <w:bottom w:val="single" w:sz="4" w:space="0" w:color="auto"/>
              <w:right w:val="single" w:sz="4" w:space="0" w:color="auto"/>
            </w:tcBorders>
            <w:shd w:val="clear" w:color="auto" w:fill="auto"/>
            <w:noWrap/>
            <w:vAlign w:val="center"/>
            <w:hideMark/>
          </w:tcPr>
          <w:p w14:paraId="0A3E575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128</w:t>
            </w:r>
          </w:p>
        </w:tc>
        <w:tc>
          <w:tcPr>
            <w:tcW w:w="693" w:type="dxa"/>
            <w:tcBorders>
              <w:top w:val="nil"/>
              <w:left w:val="nil"/>
              <w:bottom w:val="single" w:sz="4" w:space="0" w:color="auto"/>
              <w:right w:val="single" w:sz="4" w:space="0" w:color="auto"/>
            </w:tcBorders>
            <w:shd w:val="clear" w:color="auto" w:fill="auto"/>
            <w:noWrap/>
            <w:vAlign w:val="center"/>
            <w:hideMark/>
          </w:tcPr>
          <w:p w14:paraId="14A9EA92"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130</w:t>
            </w:r>
          </w:p>
        </w:tc>
        <w:tc>
          <w:tcPr>
            <w:tcW w:w="693" w:type="dxa"/>
            <w:tcBorders>
              <w:top w:val="nil"/>
              <w:left w:val="nil"/>
              <w:bottom w:val="single" w:sz="4" w:space="0" w:color="auto"/>
              <w:right w:val="single" w:sz="4" w:space="0" w:color="auto"/>
            </w:tcBorders>
            <w:shd w:val="clear" w:color="auto" w:fill="auto"/>
            <w:noWrap/>
            <w:vAlign w:val="center"/>
            <w:hideMark/>
          </w:tcPr>
          <w:p w14:paraId="55989278"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131</w:t>
            </w:r>
          </w:p>
        </w:tc>
        <w:tc>
          <w:tcPr>
            <w:tcW w:w="693" w:type="dxa"/>
            <w:tcBorders>
              <w:top w:val="nil"/>
              <w:left w:val="nil"/>
              <w:bottom w:val="single" w:sz="4" w:space="0" w:color="auto"/>
              <w:right w:val="single" w:sz="4" w:space="0" w:color="auto"/>
            </w:tcBorders>
            <w:shd w:val="clear" w:color="auto" w:fill="auto"/>
            <w:noWrap/>
            <w:vAlign w:val="center"/>
            <w:hideMark/>
          </w:tcPr>
          <w:p w14:paraId="5937DE9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142</w:t>
            </w:r>
          </w:p>
        </w:tc>
        <w:tc>
          <w:tcPr>
            <w:tcW w:w="693" w:type="dxa"/>
            <w:tcBorders>
              <w:top w:val="nil"/>
              <w:left w:val="nil"/>
              <w:bottom w:val="single" w:sz="4" w:space="0" w:color="auto"/>
              <w:right w:val="single" w:sz="4" w:space="0" w:color="auto"/>
            </w:tcBorders>
            <w:shd w:val="clear" w:color="auto" w:fill="auto"/>
            <w:noWrap/>
            <w:vAlign w:val="center"/>
            <w:hideMark/>
          </w:tcPr>
          <w:p w14:paraId="4F63D86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153</w:t>
            </w:r>
          </w:p>
        </w:tc>
        <w:tc>
          <w:tcPr>
            <w:tcW w:w="693" w:type="dxa"/>
            <w:tcBorders>
              <w:top w:val="nil"/>
              <w:left w:val="nil"/>
              <w:bottom w:val="single" w:sz="4" w:space="0" w:color="auto"/>
              <w:right w:val="single" w:sz="4" w:space="0" w:color="auto"/>
            </w:tcBorders>
            <w:shd w:val="clear" w:color="auto" w:fill="auto"/>
            <w:noWrap/>
            <w:vAlign w:val="center"/>
            <w:hideMark/>
          </w:tcPr>
          <w:p w14:paraId="4472613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158</w:t>
            </w:r>
          </w:p>
        </w:tc>
        <w:tc>
          <w:tcPr>
            <w:tcW w:w="693" w:type="dxa"/>
            <w:tcBorders>
              <w:top w:val="nil"/>
              <w:left w:val="nil"/>
              <w:bottom w:val="single" w:sz="4" w:space="0" w:color="auto"/>
              <w:right w:val="single" w:sz="4" w:space="0" w:color="auto"/>
            </w:tcBorders>
            <w:shd w:val="clear" w:color="auto" w:fill="auto"/>
            <w:noWrap/>
            <w:vAlign w:val="center"/>
            <w:hideMark/>
          </w:tcPr>
          <w:p w14:paraId="7308DE89"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155</w:t>
            </w:r>
          </w:p>
        </w:tc>
        <w:tc>
          <w:tcPr>
            <w:tcW w:w="693" w:type="dxa"/>
            <w:tcBorders>
              <w:top w:val="nil"/>
              <w:left w:val="nil"/>
              <w:bottom w:val="single" w:sz="4" w:space="0" w:color="auto"/>
              <w:right w:val="single" w:sz="4" w:space="0" w:color="auto"/>
            </w:tcBorders>
            <w:shd w:val="clear" w:color="auto" w:fill="auto"/>
            <w:noWrap/>
            <w:vAlign w:val="center"/>
            <w:hideMark/>
          </w:tcPr>
          <w:p w14:paraId="364E2043"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153</w:t>
            </w:r>
          </w:p>
        </w:tc>
        <w:tc>
          <w:tcPr>
            <w:tcW w:w="693" w:type="dxa"/>
            <w:tcBorders>
              <w:top w:val="nil"/>
              <w:left w:val="nil"/>
              <w:bottom w:val="single" w:sz="4" w:space="0" w:color="auto"/>
              <w:right w:val="single" w:sz="4" w:space="0" w:color="auto"/>
            </w:tcBorders>
            <w:shd w:val="clear" w:color="auto" w:fill="auto"/>
            <w:noWrap/>
            <w:vAlign w:val="center"/>
            <w:hideMark/>
          </w:tcPr>
          <w:p w14:paraId="6E3872CB"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150</w:t>
            </w:r>
          </w:p>
        </w:tc>
        <w:tc>
          <w:tcPr>
            <w:tcW w:w="693" w:type="dxa"/>
            <w:tcBorders>
              <w:top w:val="nil"/>
              <w:left w:val="nil"/>
              <w:bottom w:val="single" w:sz="4" w:space="0" w:color="auto"/>
              <w:right w:val="single" w:sz="4" w:space="0" w:color="auto"/>
            </w:tcBorders>
            <w:shd w:val="clear" w:color="auto" w:fill="auto"/>
            <w:noWrap/>
            <w:vAlign w:val="center"/>
            <w:hideMark/>
          </w:tcPr>
          <w:p w14:paraId="0698C864"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154</w:t>
            </w:r>
          </w:p>
        </w:tc>
        <w:tc>
          <w:tcPr>
            <w:tcW w:w="693" w:type="dxa"/>
            <w:tcBorders>
              <w:top w:val="nil"/>
              <w:left w:val="nil"/>
              <w:bottom w:val="single" w:sz="4" w:space="0" w:color="auto"/>
              <w:right w:val="single" w:sz="4" w:space="0" w:color="auto"/>
            </w:tcBorders>
            <w:shd w:val="clear" w:color="auto" w:fill="auto"/>
            <w:noWrap/>
            <w:vAlign w:val="center"/>
            <w:hideMark/>
          </w:tcPr>
          <w:p w14:paraId="2E4C5482"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162</w:t>
            </w:r>
          </w:p>
        </w:tc>
        <w:tc>
          <w:tcPr>
            <w:tcW w:w="713" w:type="dxa"/>
            <w:tcBorders>
              <w:top w:val="nil"/>
              <w:left w:val="nil"/>
              <w:bottom w:val="single" w:sz="4" w:space="0" w:color="auto"/>
              <w:right w:val="single" w:sz="4" w:space="0" w:color="auto"/>
            </w:tcBorders>
            <w:shd w:val="clear" w:color="auto" w:fill="auto"/>
            <w:noWrap/>
            <w:vAlign w:val="center"/>
            <w:hideMark/>
          </w:tcPr>
          <w:p w14:paraId="4152D133"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165</w:t>
            </w:r>
          </w:p>
        </w:tc>
      </w:tr>
      <w:tr w:rsidR="00B03F58" w:rsidRPr="0073250E" w14:paraId="05967111" w14:textId="77777777" w:rsidTr="00B03F58">
        <w:trPr>
          <w:trHeight w:val="634"/>
        </w:trPr>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57F019B3" w14:textId="5ACF3F04" w:rsidR="0073250E" w:rsidRPr="00BC614D" w:rsidRDefault="0073250E" w:rsidP="00B03F58">
            <w:pP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 xml:space="preserve">Total </w:t>
            </w:r>
          </w:p>
        </w:tc>
        <w:tc>
          <w:tcPr>
            <w:tcW w:w="897" w:type="dxa"/>
            <w:tcBorders>
              <w:top w:val="nil"/>
              <w:left w:val="nil"/>
              <w:bottom w:val="single" w:sz="4" w:space="0" w:color="auto"/>
              <w:right w:val="single" w:sz="4" w:space="0" w:color="auto"/>
            </w:tcBorders>
            <w:shd w:val="clear" w:color="auto" w:fill="auto"/>
            <w:noWrap/>
            <w:vAlign w:val="center"/>
            <w:hideMark/>
          </w:tcPr>
          <w:p w14:paraId="3116DBA5"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221</w:t>
            </w:r>
          </w:p>
        </w:tc>
        <w:tc>
          <w:tcPr>
            <w:tcW w:w="693" w:type="dxa"/>
            <w:tcBorders>
              <w:top w:val="nil"/>
              <w:left w:val="nil"/>
              <w:bottom w:val="single" w:sz="4" w:space="0" w:color="auto"/>
              <w:right w:val="single" w:sz="4" w:space="0" w:color="auto"/>
            </w:tcBorders>
            <w:shd w:val="clear" w:color="auto" w:fill="auto"/>
            <w:noWrap/>
            <w:vAlign w:val="center"/>
            <w:hideMark/>
          </w:tcPr>
          <w:p w14:paraId="54F506D5"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234</w:t>
            </w:r>
          </w:p>
        </w:tc>
        <w:tc>
          <w:tcPr>
            <w:tcW w:w="693" w:type="dxa"/>
            <w:tcBorders>
              <w:top w:val="nil"/>
              <w:left w:val="nil"/>
              <w:bottom w:val="single" w:sz="4" w:space="0" w:color="auto"/>
              <w:right w:val="single" w:sz="4" w:space="0" w:color="auto"/>
            </w:tcBorders>
            <w:shd w:val="clear" w:color="auto" w:fill="auto"/>
            <w:noWrap/>
            <w:vAlign w:val="center"/>
            <w:hideMark/>
          </w:tcPr>
          <w:p w14:paraId="5713F491"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245</w:t>
            </w:r>
          </w:p>
        </w:tc>
        <w:tc>
          <w:tcPr>
            <w:tcW w:w="693" w:type="dxa"/>
            <w:tcBorders>
              <w:top w:val="nil"/>
              <w:left w:val="nil"/>
              <w:bottom w:val="single" w:sz="4" w:space="0" w:color="auto"/>
              <w:right w:val="single" w:sz="4" w:space="0" w:color="auto"/>
            </w:tcBorders>
            <w:shd w:val="clear" w:color="auto" w:fill="auto"/>
            <w:noWrap/>
            <w:vAlign w:val="center"/>
            <w:hideMark/>
          </w:tcPr>
          <w:p w14:paraId="339A3AB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269</w:t>
            </w:r>
          </w:p>
        </w:tc>
        <w:tc>
          <w:tcPr>
            <w:tcW w:w="693" w:type="dxa"/>
            <w:tcBorders>
              <w:top w:val="nil"/>
              <w:left w:val="nil"/>
              <w:bottom w:val="single" w:sz="4" w:space="0" w:color="auto"/>
              <w:right w:val="single" w:sz="4" w:space="0" w:color="auto"/>
            </w:tcBorders>
            <w:shd w:val="clear" w:color="auto" w:fill="auto"/>
            <w:noWrap/>
            <w:vAlign w:val="center"/>
            <w:hideMark/>
          </w:tcPr>
          <w:p w14:paraId="3ECA4DE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306</w:t>
            </w:r>
          </w:p>
        </w:tc>
        <w:tc>
          <w:tcPr>
            <w:tcW w:w="693" w:type="dxa"/>
            <w:tcBorders>
              <w:top w:val="nil"/>
              <w:left w:val="nil"/>
              <w:bottom w:val="single" w:sz="4" w:space="0" w:color="auto"/>
              <w:right w:val="single" w:sz="4" w:space="0" w:color="auto"/>
            </w:tcBorders>
            <w:shd w:val="clear" w:color="auto" w:fill="auto"/>
            <w:noWrap/>
            <w:vAlign w:val="center"/>
            <w:hideMark/>
          </w:tcPr>
          <w:p w14:paraId="721A5F57"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325</w:t>
            </w:r>
          </w:p>
        </w:tc>
        <w:tc>
          <w:tcPr>
            <w:tcW w:w="693" w:type="dxa"/>
            <w:tcBorders>
              <w:top w:val="nil"/>
              <w:left w:val="nil"/>
              <w:bottom w:val="single" w:sz="4" w:space="0" w:color="auto"/>
              <w:right w:val="single" w:sz="4" w:space="0" w:color="auto"/>
            </w:tcBorders>
            <w:shd w:val="clear" w:color="auto" w:fill="auto"/>
            <w:noWrap/>
            <w:vAlign w:val="center"/>
            <w:hideMark/>
          </w:tcPr>
          <w:p w14:paraId="78C88C0E"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324</w:t>
            </w:r>
          </w:p>
        </w:tc>
        <w:tc>
          <w:tcPr>
            <w:tcW w:w="693" w:type="dxa"/>
            <w:tcBorders>
              <w:top w:val="nil"/>
              <w:left w:val="nil"/>
              <w:bottom w:val="single" w:sz="4" w:space="0" w:color="auto"/>
              <w:right w:val="single" w:sz="4" w:space="0" w:color="auto"/>
            </w:tcBorders>
            <w:shd w:val="clear" w:color="auto" w:fill="auto"/>
            <w:noWrap/>
            <w:vAlign w:val="center"/>
            <w:hideMark/>
          </w:tcPr>
          <w:p w14:paraId="40B1F43D"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342</w:t>
            </w:r>
          </w:p>
        </w:tc>
        <w:tc>
          <w:tcPr>
            <w:tcW w:w="693" w:type="dxa"/>
            <w:tcBorders>
              <w:top w:val="nil"/>
              <w:left w:val="nil"/>
              <w:bottom w:val="single" w:sz="4" w:space="0" w:color="auto"/>
              <w:right w:val="single" w:sz="4" w:space="0" w:color="auto"/>
            </w:tcBorders>
            <w:shd w:val="clear" w:color="auto" w:fill="auto"/>
            <w:noWrap/>
            <w:vAlign w:val="center"/>
            <w:hideMark/>
          </w:tcPr>
          <w:p w14:paraId="05F3AB72"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342</w:t>
            </w:r>
          </w:p>
        </w:tc>
        <w:tc>
          <w:tcPr>
            <w:tcW w:w="693" w:type="dxa"/>
            <w:tcBorders>
              <w:top w:val="nil"/>
              <w:left w:val="nil"/>
              <w:bottom w:val="single" w:sz="4" w:space="0" w:color="auto"/>
              <w:right w:val="single" w:sz="4" w:space="0" w:color="auto"/>
            </w:tcBorders>
            <w:shd w:val="clear" w:color="auto" w:fill="auto"/>
            <w:noWrap/>
            <w:vAlign w:val="center"/>
            <w:hideMark/>
          </w:tcPr>
          <w:p w14:paraId="7004DB60"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341</w:t>
            </w:r>
          </w:p>
        </w:tc>
        <w:tc>
          <w:tcPr>
            <w:tcW w:w="693" w:type="dxa"/>
            <w:tcBorders>
              <w:top w:val="nil"/>
              <w:left w:val="nil"/>
              <w:bottom w:val="single" w:sz="4" w:space="0" w:color="auto"/>
              <w:right w:val="single" w:sz="4" w:space="0" w:color="auto"/>
            </w:tcBorders>
            <w:shd w:val="clear" w:color="auto" w:fill="auto"/>
            <w:noWrap/>
            <w:vAlign w:val="center"/>
            <w:hideMark/>
          </w:tcPr>
          <w:p w14:paraId="0560DD1A"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347</w:t>
            </w:r>
          </w:p>
        </w:tc>
        <w:tc>
          <w:tcPr>
            <w:tcW w:w="713" w:type="dxa"/>
            <w:tcBorders>
              <w:top w:val="nil"/>
              <w:left w:val="nil"/>
              <w:bottom w:val="single" w:sz="4" w:space="0" w:color="auto"/>
              <w:right w:val="single" w:sz="4" w:space="0" w:color="auto"/>
            </w:tcBorders>
            <w:shd w:val="clear" w:color="auto" w:fill="auto"/>
            <w:noWrap/>
            <w:vAlign w:val="center"/>
            <w:hideMark/>
          </w:tcPr>
          <w:p w14:paraId="700EDF39" w14:textId="77777777" w:rsidR="0073250E" w:rsidRPr="00BC614D" w:rsidRDefault="0073250E" w:rsidP="00B03F58">
            <w:pPr>
              <w:jc w:val="center"/>
              <w:rPr>
                <w:rFonts w:ascii="Palatino Linotype" w:eastAsia="Times New Roman" w:hAnsi="Palatino Linotype" w:cs="Times New Roman"/>
                <w:color w:val="000000"/>
                <w:sz w:val="22"/>
                <w:szCs w:val="22"/>
                <w:lang w:val="es-CL"/>
              </w:rPr>
            </w:pPr>
            <w:r w:rsidRPr="00BC614D">
              <w:rPr>
                <w:rFonts w:ascii="Palatino Linotype" w:eastAsia="Times New Roman" w:hAnsi="Palatino Linotype" w:cs="Times New Roman"/>
                <w:color w:val="000000"/>
                <w:sz w:val="22"/>
                <w:szCs w:val="22"/>
                <w:lang w:val="es-CL"/>
              </w:rPr>
              <w:t>344</w:t>
            </w:r>
          </w:p>
        </w:tc>
      </w:tr>
    </w:tbl>
    <w:p w14:paraId="3D171F13" w14:textId="3B0FEBA0" w:rsidR="00B03F58" w:rsidRDefault="00B03F58" w:rsidP="005315ED">
      <w:pPr>
        <w:jc w:val="both"/>
        <w:rPr>
          <w:rFonts w:ascii="Palatino Linotype" w:hAnsi="Palatino Linotype"/>
        </w:rPr>
      </w:pPr>
      <w:r>
        <w:rPr>
          <w:rFonts w:ascii="Palatino Linotype" w:hAnsi="Palatino Linotype"/>
        </w:rPr>
        <w:t>Fuente: Elaboración propia en base a datos de CNED.</w:t>
      </w:r>
    </w:p>
    <w:p w14:paraId="6CCF3D27" w14:textId="77777777" w:rsidR="00B03F58" w:rsidRDefault="00B03F58" w:rsidP="005315ED">
      <w:pPr>
        <w:jc w:val="both"/>
        <w:rPr>
          <w:rFonts w:ascii="Palatino Linotype" w:hAnsi="Palatino Linotype"/>
        </w:rPr>
      </w:pPr>
    </w:p>
    <w:p w14:paraId="6569EDD0" w14:textId="77777777" w:rsidR="00B03F58" w:rsidRDefault="00B03F58" w:rsidP="005315ED">
      <w:pPr>
        <w:jc w:val="both"/>
        <w:rPr>
          <w:rFonts w:ascii="Palatino Linotype" w:hAnsi="Palatino Linotype"/>
        </w:rPr>
      </w:pPr>
    </w:p>
    <w:p w14:paraId="2BD52D17" w14:textId="77777777" w:rsidR="00B03F58" w:rsidRDefault="00B03F58" w:rsidP="005315ED">
      <w:pPr>
        <w:jc w:val="both"/>
        <w:rPr>
          <w:rFonts w:ascii="Palatino Linotype" w:hAnsi="Palatino Linotype"/>
        </w:rPr>
      </w:pPr>
    </w:p>
    <w:p w14:paraId="6A8FE644" w14:textId="1BF2E8BC" w:rsidR="00BC614D" w:rsidRPr="00BC614D" w:rsidRDefault="00BC614D" w:rsidP="00BC614D">
      <w:pPr>
        <w:pStyle w:val="Epgrafe"/>
        <w:keepNext/>
        <w:jc w:val="both"/>
        <w:rPr>
          <w:rFonts w:ascii="Palatino Linotype" w:hAnsi="Palatino Linotype"/>
          <w:color w:val="auto"/>
          <w:sz w:val="22"/>
        </w:rPr>
      </w:pPr>
      <w:bookmarkStart w:id="11" w:name="_Toc391553470"/>
      <w:r w:rsidRPr="00BC614D">
        <w:rPr>
          <w:rFonts w:ascii="Palatino Linotype" w:hAnsi="Palatino Linotype"/>
          <w:color w:val="auto"/>
          <w:sz w:val="22"/>
        </w:rPr>
        <w:t xml:space="preserve">Tabla </w:t>
      </w:r>
      <w:r w:rsidRPr="00BC614D">
        <w:rPr>
          <w:rFonts w:ascii="Palatino Linotype" w:hAnsi="Palatino Linotype"/>
          <w:color w:val="auto"/>
          <w:sz w:val="22"/>
        </w:rPr>
        <w:fldChar w:fldCharType="begin"/>
      </w:r>
      <w:r w:rsidRPr="00BC614D">
        <w:rPr>
          <w:rFonts w:ascii="Palatino Linotype" w:hAnsi="Palatino Linotype"/>
          <w:color w:val="auto"/>
          <w:sz w:val="22"/>
        </w:rPr>
        <w:instrText xml:space="preserve"> SEQ Tabla \* ARABIC </w:instrText>
      </w:r>
      <w:r w:rsidRPr="00BC614D">
        <w:rPr>
          <w:rFonts w:ascii="Palatino Linotype" w:hAnsi="Palatino Linotype"/>
          <w:color w:val="auto"/>
          <w:sz w:val="22"/>
        </w:rPr>
        <w:fldChar w:fldCharType="separate"/>
      </w:r>
      <w:r w:rsidR="00DC1EC1">
        <w:rPr>
          <w:rFonts w:ascii="Palatino Linotype" w:hAnsi="Palatino Linotype"/>
          <w:noProof/>
          <w:color w:val="auto"/>
          <w:sz w:val="22"/>
        </w:rPr>
        <w:t>4</w:t>
      </w:r>
      <w:r w:rsidRPr="00BC614D">
        <w:rPr>
          <w:rFonts w:ascii="Palatino Linotype" w:hAnsi="Palatino Linotype"/>
          <w:color w:val="auto"/>
          <w:sz w:val="22"/>
        </w:rPr>
        <w:fldChar w:fldCharType="end"/>
      </w:r>
      <w:r w:rsidRPr="00BC614D">
        <w:rPr>
          <w:rFonts w:ascii="Palatino Linotype" w:hAnsi="Palatino Linotype"/>
          <w:color w:val="auto"/>
          <w:sz w:val="22"/>
        </w:rPr>
        <w:t>: Evolución de matrícula de 1er año (miles/año)</w:t>
      </w:r>
      <w:bookmarkEnd w:id="11"/>
    </w:p>
    <w:p w14:paraId="02A8BB95" w14:textId="6A258381" w:rsidR="00BC614D" w:rsidRDefault="00BC614D" w:rsidP="005315ED">
      <w:pPr>
        <w:jc w:val="both"/>
        <w:rPr>
          <w:rFonts w:ascii="Palatino Linotype" w:hAnsi="Palatino Linotype"/>
        </w:rPr>
      </w:pPr>
      <w:r>
        <w:rPr>
          <w:noProof/>
          <w:lang w:val="es-ES"/>
        </w:rPr>
        <w:drawing>
          <wp:inline distT="0" distB="0" distL="0" distR="0" wp14:anchorId="6CA7CEB2" wp14:editId="275DFF93">
            <wp:extent cx="5612130" cy="2416810"/>
            <wp:effectExtent l="0" t="0" r="127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Palatino Linotype" w:hAnsi="Palatino Linotype"/>
        </w:rPr>
        <w:t xml:space="preserve">Fuente: Elaboración propia en base a datos de </w:t>
      </w:r>
      <w:r w:rsidR="00601A8F">
        <w:rPr>
          <w:rFonts w:ascii="Palatino Linotype" w:hAnsi="Palatino Linotype"/>
        </w:rPr>
        <w:t xml:space="preserve">la </w:t>
      </w:r>
      <w:r>
        <w:rPr>
          <w:rFonts w:ascii="Palatino Linotype" w:hAnsi="Palatino Linotype"/>
        </w:rPr>
        <w:t>CNED.</w:t>
      </w:r>
    </w:p>
    <w:p w14:paraId="4F46BFD8" w14:textId="77777777" w:rsidR="00BC614D" w:rsidRDefault="00BC614D" w:rsidP="005315ED">
      <w:pPr>
        <w:jc w:val="both"/>
        <w:rPr>
          <w:rFonts w:ascii="Palatino Linotype" w:hAnsi="Palatino Linotype"/>
        </w:rPr>
      </w:pPr>
    </w:p>
    <w:p w14:paraId="19E94516" w14:textId="6AB5A0D8" w:rsidR="00DA1C8A" w:rsidRDefault="00BC614D" w:rsidP="005315ED">
      <w:pPr>
        <w:jc w:val="both"/>
        <w:rPr>
          <w:rFonts w:ascii="Palatino Linotype" w:hAnsi="Palatino Linotype"/>
        </w:rPr>
      </w:pPr>
      <w:r>
        <w:rPr>
          <w:rFonts w:ascii="Palatino Linotype" w:hAnsi="Palatino Linotype"/>
        </w:rPr>
        <w:t>Por último, la deserción de estudiantes de 1er año promedió un 30% para el año 2016</w:t>
      </w:r>
      <w:r w:rsidR="00BC117D">
        <w:rPr>
          <w:rStyle w:val="Refdenotaalpie"/>
          <w:rFonts w:ascii="Palatino Linotype" w:hAnsi="Palatino Linotype"/>
        </w:rPr>
        <w:footnoteReference w:id="11"/>
      </w:r>
      <w:r>
        <w:rPr>
          <w:rFonts w:ascii="Palatino Linotype" w:hAnsi="Palatino Linotype"/>
        </w:rPr>
        <w:t>. Este 30%</w:t>
      </w:r>
      <w:r w:rsidR="001D1D42">
        <w:rPr>
          <w:rFonts w:ascii="Palatino Linotype" w:hAnsi="Palatino Linotype"/>
        </w:rPr>
        <w:t xml:space="preserve"> </w:t>
      </w:r>
      <w:r w:rsidR="00F61B06">
        <w:rPr>
          <w:rFonts w:ascii="Palatino Linotype" w:hAnsi="Palatino Linotype"/>
        </w:rPr>
        <w:t>se compone de una deserción de 32% en IPs, 35% en CFTs, y por último, 25% en universidades.</w:t>
      </w:r>
    </w:p>
    <w:p w14:paraId="7BD527D6" w14:textId="77777777" w:rsidR="00F61B06" w:rsidRDefault="00F61B06" w:rsidP="005315ED">
      <w:pPr>
        <w:jc w:val="both"/>
        <w:rPr>
          <w:rFonts w:ascii="Palatino Linotype" w:hAnsi="Palatino Linotype"/>
        </w:rPr>
      </w:pPr>
    </w:p>
    <w:p w14:paraId="26F2F6C2" w14:textId="77777777" w:rsidR="00F61B06" w:rsidRDefault="00F61B06" w:rsidP="005315ED">
      <w:pPr>
        <w:jc w:val="both"/>
        <w:rPr>
          <w:rFonts w:ascii="Palatino Linotype" w:hAnsi="Palatino Linotype"/>
        </w:rPr>
      </w:pPr>
    </w:p>
    <w:p w14:paraId="4EA593BD" w14:textId="55FF61B9" w:rsidR="00F61B06" w:rsidRPr="00F61B06" w:rsidRDefault="00F61B06" w:rsidP="00F61B06">
      <w:pPr>
        <w:pStyle w:val="Epgrafe"/>
        <w:keepNext/>
        <w:rPr>
          <w:rFonts w:ascii="Palatino Linotype" w:hAnsi="Palatino Linotype"/>
          <w:color w:val="auto"/>
          <w:sz w:val="22"/>
        </w:rPr>
      </w:pPr>
      <w:r w:rsidRPr="00F61B06">
        <w:rPr>
          <w:rFonts w:ascii="Palatino Linotype" w:hAnsi="Palatino Linotype"/>
          <w:color w:val="auto"/>
          <w:sz w:val="22"/>
        </w:rPr>
        <w:t xml:space="preserve">Ilustración </w:t>
      </w:r>
      <w:r w:rsidRPr="00F61B06">
        <w:rPr>
          <w:rFonts w:ascii="Palatino Linotype" w:hAnsi="Palatino Linotype"/>
          <w:color w:val="auto"/>
          <w:sz w:val="22"/>
        </w:rPr>
        <w:fldChar w:fldCharType="begin"/>
      </w:r>
      <w:r w:rsidRPr="00F61B06">
        <w:rPr>
          <w:rFonts w:ascii="Palatino Linotype" w:hAnsi="Palatino Linotype"/>
          <w:color w:val="auto"/>
          <w:sz w:val="22"/>
        </w:rPr>
        <w:instrText xml:space="preserve"> SEQ Ilustración \* ARABIC </w:instrText>
      </w:r>
      <w:r w:rsidRPr="00F61B06">
        <w:rPr>
          <w:rFonts w:ascii="Palatino Linotype" w:hAnsi="Palatino Linotype"/>
          <w:color w:val="auto"/>
          <w:sz w:val="22"/>
        </w:rPr>
        <w:fldChar w:fldCharType="separate"/>
      </w:r>
      <w:r w:rsidR="00DC1EC1">
        <w:rPr>
          <w:rFonts w:ascii="Palatino Linotype" w:hAnsi="Palatino Linotype"/>
          <w:noProof/>
          <w:color w:val="auto"/>
          <w:sz w:val="22"/>
        </w:rPr>
        <w:t>1</w:t>
      </w:r>
      <w:r w:rsidRPr="00F61B06">
        <w:rPr>
          <w:rFonts w:ascii="Palatino Linotype" w:hAnsi="Palatino Linotype"/>
          <w:color w:val="auto"/>
          <w:sz w:val="22"/>
        </w:rPr>
        <w:fldChar w:fldCharType="end"/>
      </w:r>
      <w:r w:rsidRPr="00F61B06">
        <w:rPr>
          <w:rFonts w:ascii="Palatino Linotype" w:hAnsi="Palatino Linotype"/>
          <w:color w:val="auto"/>
          <w:sz w:val="22"/>
        </w:rPr>
        <w:t>: Deserción universitaria en estudiantes de 1er año, año 2016.</w:t>
      </w:r>
    </w:p>
    <w:p w14:paraId="5A5D0E8A" w14:textId="77777777" w:rsidR="00601A8F" w:rsidRDefault="00F61B06" w:rsidP="005315ED">
      <w:pPr>
        <w:jc w:val="both"/>
        <w:rPr>
          <w:rFonts w:ascii="Palatino Linotype" w:hAnsi="Palatino Linotype"/>
        </w:rPr>
      </w:pPr>
      <w:r>
        <w:rPr>
          <w:noProof/>
          <w:lang w:val="es-ES"/>
        </w:rPr>
        <w:drawing>
          <wp:inline distT="0" distB="0" distL="0" distR="0" wp14:anchorId="42E88B05" wp14:editId="5C227CF9">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F142F9" w14:textId="3C32D55D" w:rsidR="00F61B06" w:rsidRDefault="00601A8F" w:rsidP="005315ED">
      <w:pPr>
        <w:jc w:val="both"/>
        <w:rPr>
          <w:rFonts w:ascii="Palatino Linotype" w:hAnsi="Palatino Linotype"/>
        </w:rPr>
      </w:pPr>
      <w:r>
        <w:rPr>
          <w:rFonts w:ascii="Palatino Linotype" w:hAnsi="Palatino Linotype"/>
        </w:rPr>
        <w:t>Fuente: Elaboración propia en base a datos de la CNED.</w:t>
      </w:r>
    </w:p>
    <w:p w14:paraId="37E3F406" w14:textId="77777777" w:rsidR="001F7CAC" w:rsidRDefault="001F7CAC" w:rsidP="005315ED">
      <w:pPr>
        <w:jc w:val="both"/>
        <w:rPr>
          <w:rFonts w:ascii="Palatino Linotype" w:hAnsi="Palatino Linotype"/>
        </w:rPr>
      </w:pPr>
    </w:p>
    <w:p w14:paraId="3F156B70" w14:textId="77777777" w:rsidR="001F7CAC" w:rsidRDefault="001F7CAC" w:rsidP="005315ED">
      <w:pPr>
        <w:jc w:val="both"/>
        <w:rPr>
          <w:rFonts w:ascii="Palatino Linotype" w:hAnsi="Palatino Linotype"/>
        </w:rPr>
      </w:pPr>
    </w:p>
    <w:p w14:paraId="119F1135" w14:textId="7EE684F1" w:rsidR="00A8431F" w:rsidRDefault="00A8431F" w:rsidP="00A8431F">
      <w:pPr>
        <w:pStyle w:val="Ttulo3"/>
        <w:rPr>
          <w:rFonts w:ascii="Palatino Linotype" w:hAnsi="Palatino Linotype"/>
          <w:color w:val="auto"/>
          <w:sz w:val="26"/>
          <w:szCs w:val="26"/>
          <w:lang w:val="es-ES"/>
        </w:rPr>
      </w:pPr>
      <w:bookmarkStart w:id="12" w:name="_Toc391553444"/>
      <w:r>
        <w:rPr>
          <w:rFonts w:ascii="Palatino Linotype" w:hAnsi="Palatino Linotype"/>
          <w:color w:val="auto"/>
          <w:sz w:val="26"/>
          <w:szCs w:val="26"/>
          <w:lang w:val="es-ES"/>
        </w:rPr>
        <w:t>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Pr>
          <w:rFonts w:ascii="Palatino Linotype" w:hAnsi="Palatino Linotype"/>
          <w:color w:val="auto"/>
          <w:sz w:val="26"/>
          <w:szCs w:val="26"/>
          <w:lang w:val="es-ES"/>
        </w:rPr>
        <w:t>i</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Sistema de créditos: F</w:t>
      </w:r>
      <w:r w:rsidR="00E13EA5">
        <w:rPr>
          <w:rFonts w:ascii="Palatino Linotype" w:hAnsi="Palatino Linotype"/>
          <w:color w:val="auto"/>
          <w:sz w:val="26"/>
          <w:szCs w:val="26"/>
          <w:lang w:val="es-ES"/>
        </w:rPr>
        <w:t>SC</w:t>
      </w:r>
      <w:r>
        <w:rPr>
          <w:rFonts w:ascii="Palatino Linotype" w:hAnsi="Palatino Linotype"/>
          <w:color w:val="auto"/>
          <w:sz w:val="26"/>
          <w:szCs w:val="26"/>
          <w:lang w:val="es-ES"/>
        </w:rPr>
        <w:t>U y CAE</w:t>
      </w:r>
      <w:bookmarkEnd w:id="12"/>
    </w:p>
    <w:p w14:paraId="1CE6A9F8" w14:textId="77777777" w:rsidR="00A8431F" w:rsidRDefault="00A8431F" w:rsidP="00A8431F">
      <w:pPr>
        <w:rPr>
          <w:lang w:val="es-ES"/>
        </w:rPr>
      </w:pPr>
    </w:p>
    <w:p w14:paraId="2639FA88" w14:textId="57940B15" w:rsidR="00AF4D62" w:rsidRPr="00AF4D62" w:rsidRDefault="00A8431F" w:rsidP="00AF4D62">
      <w:pPr>
        <w:jc w:val="both"/>
        <w:rPr>
          <w:rFonts w:ascii="Palatino Linotype" w:hAnsi="Palatino Linotype"/>
          <w:lang w:val="es-ES"/>
        </w:rPr>
      </w:pPr>
      <w:r w:rsidRPr="00A8431F">
        <w:rPr>
          <w:rFonts w:ascii="Palatino Linotype" w:hAnsi="Palatino Linotype"/>
          <w:lang w:val="es-ES"/>
        </w:rPr>
        <w:t>Actualmente, solo el 27% de los estudiantes de pregrado tiene la posibilidad de acceder al FSCU. Para el resto, la única alternativa es el CAE.</w:t>
      </w:r>
      <w:r>
        <w:rPr>
          <w:rStyle w:val="Refdenotaalpie"/>
          <w:rFonts w:ascii="Palatino Linotype" w:hAnsi="Palatino Linotype"/>
          <w:lang w:val="es-ES"/>
        </w:rPr>
        <w:footnoteReference w:id="12"/>
      </w:r>
      <w:r w:rsidRPr="00A8431F">
        <w:rPr>
          <w:rFonts w:ascii="Palatino Linotype" w:hAnsi="Palatino Linotype"/>
          <w:lang w:val="es-ES"/>
        </w:rPr>
        <w:t xml:space="preserve">  </w:t>
      </w:r>
      <w:r>
        <w:rPr>
          <w:rFonts w:ascii="Palatino Linotype" w:hAnsi="Palatino Linotype"/>
          <w:lang w:val="es-ES"/>
        </w:rPr>
        <w:t xml:space="preserve">De acuerdo a la Comisión Ingresa, </w:t>
      </w:r>
      <w:r w:rsidR="00AF4D62">
        <w:rPr>
          <w:rFonts w:ascii="Palatino Linotype" w:hAnsi="Palatino Linotype"/>
          <w:lang w:val="es-ES"/>
        </w:rPr>
        <w:t xml:space="preserve">al año 2017, </w:t>
      </w:r>
      <w:r w:rsidR="00AF4D62" w:rsidRPr="00AF4D62">
        <w:rPr>
          <w:rFonts w:ascii="Palatino Linotype" w:hAnsi="Palatino Linotype"/>
          <w:lang w:val="es-ES"/>
        </w:rPr>
        <w:t>874.29</w:t>
      </w:r>
      <w:r w:rsidR="00601A8F">
        <w:rPr>
          <w:rFonts w:ascii="Palatino Linotype" w:hAnsi="Palatino Linotype"/>
          <w:lang w:val="es-ES"/>
        </w:rPr>
        <w:t>7</w:t>
      </w:r>
      <w:r w:rsidR="00AF4D62" w:rsidRPr="00AF4D62">
        <w:rPr>
          <w:rFonts w:ascii="Palatino Linotype" w:hAnsi="Palatino Linotype"/>
          <w:lang w:val="es-ES"/>
        </w:rPr>
        <w:t xml:space="preserve">  </w:t>
      </w:r>
      <w:r w:rsidR="00AF4D62">
        <w:rPr>
          <w:rFonts w:ascii="Palatino Linotype" w:hAnsi="Palatino Linotype"/>
          <w:lang w:val="es-ES"/>
        </w:rPr>
        <w:t xml:space="preserve">estudiantes han sido beneficiados con el CAE. Asimismo, </w:t>
      </w:r>
      <w:r w:rsidR="00AF4D62" w:rsidRPr="00AF4D62">
        <w:rPr>
          <w:rFonts w:ascii="Palatino Linotype" w:hAnsi="Palatino Linotype"/>
          <w:lang w:val="es-ES"/>
        </w:rPr>
        <w:t>del total de jóvenes que han estudiado con el CAE, 397.700 aún están en etapa de estudio, mientras que 86.377 están dentro del periodo de gracia antes de que se inicie el cobro. En tanto, 390.220 están en etapa de pago. De este último grupo, el 77% son egresados de sus carreras y</w:t>
      </w:r>
      <w:r w:rsidR="00AF4D62">
        <w:rPr>
          <w:rFonts w:ascii="Palatino Linotype" w:hAnsi="Palatino Linotype"/>
          <w:lang w:val="es-ES"/>
        </w:rPr>
        <w:t xml:space="preserve"> el</w:t>
      </w:r>
      <w:r w:rsidR="00AF4D62" w:rsidRPr="00AF4D62">
        <w:rPr>
          <w:rFonts w:ascii="Palatino Linotype" w:hAnsi="Palatino Linotype"/>
          <w:lang w:val="es-ES"/>
        </w:rPr>
        <w:t xml:space="preserve"> 23% </w:t>
      </w:r>
      <w:r w:rsidR="00AF4D62">
        <w:rPr>
          <w:rFonts w:ascii="Palatino Linotype" w:hAnsi="Palatino Linotype"/>
          <w:lang w:val="es-ES"/>
        </w:rPr>
        <w:t xml:space="preserve">restante </w:t>
      </w:r>
      <w:r w:rsidR="00AF4D62" w:rsidRPr="00AF4D62">
        <w:rPr>
          <w:rFonts w:ascii="Palatino Linotype" w:hAnsi="Palatino Linotype"/>
          <w:lang w:val="es-ES"/>
        </w:rPr>
        <w:t>son desertores.  </w:t>
      </w:r>
    </w:p>
    <w:p w14:paraId="7B3F5706" w14:textId="56FED75A" w:rsidR="00AF4D62" w:rsidRPr="00AF4D62" w:rsidRDefault="00AF4D62" w:rsidP="00AF4D62">
      <w:pPr>
        <w:rPr>
          <w:rFonts w:ascii="Palatino Linotype" w:hAnsi="Palatino Linotype"/>
          <w:lang w:val="es-ES"/>
        </w:rPr>
      </w:pPr>
    </w:p>
    <w:p w14:paraId="3C0982BC" w14:textId="655268DF" w:rsidR="00601A8F" w:rsidRPr="00601A8F" w:rsidRDefault="00601A8F" w:rsidP="00601A8F">
      <w:pPr>
        <w:pStyle w:val="Epgrafe"/>
        <w:keepNext/>
        <w:rPr>
          <w:rFonts w:ascii="Palatino Linotype" w:hAnsi="Palatino Linotype"/>
          <w:color w:val="auto"/>
          <w:sz w:val="22"/>
        </w:rPr>
      </w:pPr>
      <w:bookmarkStart w:id="13" w:name="_Toc391553471"/>
      <w:r w:rsidRPr="00601A8F">
        <w:rPr>
          <w:rFonts w:ascii="Palatino Linotype" w:hAnsi="Palatino Linotype"/>
          <w:color w:val="auto"/>
          <w:sz w:val="22"/>
        </w:rPr>
        <w:t xml:space="preserve">Tabla </w:t>
      </w:r>
      <w:r w:rsidRPr="00601A8F">
        <w:rPr>
          <w:rFonts w:ascii="Palatino Linotype" w:hAnsi="Palatino Linotype"/>
          <w:color w:val="auto"/>
          <w:sz w:val="22"/>
        </w:rPr>
        <w:fldChar w:fldCharType="begin"/>
      </w:r>
      <w:r w:rsidRPr="00601A8F">
        <w:rPr>
          <w:rFonts w:ascii="Palatino Linotype" w:hAnsi="Palatino Linotype"/>
          <w:color w:val="auto"/>
          <w:sz w:val="22"/>
        </w:rPr>
        <w:instrText xml:space="preserve"> SEQ Tabla \* ARABIC </w:instrText>
      </w:r>
      <w:r w:rsidRPr="00601A8F">
        <w:rPr>
          <w:rFonts w:ascii="Palatino Linotype" w:hAnsi="Palatino Linotype"/>
          <w:color w:val="auto"/>
          <w:sz w:val="22"/>
        </w:rPr>
        <w:fldChar w:fldCharType="separate"/>
      </w:r>
      <w:r w:rsidR="00DC1EC1">
        <w:rPr>
          <w:rFonts w:ascii="Palatino Linotype" w:hAnsi="Palatino Linotype"/>
          <w:noProof/>
          <w:color w:val="auto"/>
          <w:sz w:val="22"/>
        </w:rPr>
        <w:t>5</w:t>
      </w:r>
      <w:r w:rsidRPr="00601A8F">
        <w:rPr>
          <w:rFonts w:ascii="Palatino Linotype" w:hAnsi="Palatino Linotype"/>
          <w:color w:val="auto"/>
          <w:sz w:val="22"/>
        </w:rPr>
        <w:fldChar w:fldCharType="end"/>
      </w:r>
      <w:r w:rsidRPr="00601A8F">
        <w:rPr>
          <w:rFonts w:ascii="Palatino Linotype" w:hAnsi="Palatino Linotype"/>
          <w:color w:val="auto"/>
          <w:sz w:val="22"/>
        </w:rPr>
        <w:t>: Estudiantes beneficiados por el CAE</w:t>
      </w:r>
      <w:bookmarkEnd w:id="13"/>
    </w:p>
    <w:tbl>
      <w:tblPr>
        <w:tblW w:w="7564" w:type="dxa"/>
        <w:tblInd w:w="55" w:type="dxa"/>
        <w:tblCellMar>
          <w:left w:w="70" w:type="dxa"/>
          <w:right w:w="70" w:type="dxa"/>
        </w:tblCellMar>
        <w:tblLook w:val="04A0" w:firstRow="1" w:lastRow="0" w:firstColumn="1" w:lastColumn="0" w:noHBand="0" w:noVBand="1"/>
      </w:tblPr>
      <w:tblGrid>
        <w:gridCol w:w="3342"/>
        <w:gridCol w:w="2111"/>
        <w:gridCol w:w="2111"/>
      </w:tblGrid>
      <w:tr w:rsidR="00601A8F" w:rsidRPr="00601A8F" w14:paraId="35574811" w14:textId="77777777" w:rsidTr="00A67DC0">
        <w:trPr>
          <w:trHeight w:val="665"/>
        </w:trPr>
        <w:tc>
          <w:tcPr>
            <w:tcW w:w="3342" w:type="dxa"/>
            <w:tcBorders>
              <w:top w:val="single" w:sz="4" w:space="0" w:color="auto"/>
              <w:left w:val="single" w:sz="4" w:space="0" w:color="auto"/>
              <w:bottom w:val="single" w:sz="4" w:space="0" w:color="auto"/>
              <w:right w:val="single" w:sz="4" w:space="0" w:color="auto"/>
            </w:tcBorders>
            <w:shd w:val="clear" w:color="000000" w:fill="1F497D" w:themeFill="text2"/>
            <w:vAlign w:val="center"/>
            <w:hideMark/>
          </w:tcPr>
          <w:p w14:paraId="089FC91D" w14:textId="77777777" w:rsidR="00601A8F" w:rsidRPr="00601A8F" w:rsidRDefault="00601A8F" w:rsidP="00601A8F">
            <w:pPr>
              <w:rPr>
                <w:rFonts w:ascii="Palatino Linotype" w:eastAsia="Times New Roman" w:hAnsi="Palatino Linotype" w:cs="Times New Roman"/>
                <w:b/>
                <w:bCs/>
                <w:color w:val="FFFFFF"/>
                <w:lang w:val="es-CL"/>
              </w:rPr>
            </w:pPr>
            <w:r w:rsidRPr="00601A8F">
              <w:rPr>
                <w:rFonts w:ascii="Palatino Linotype" w:eastAsia="Times New Roman" w:hAnsi="Palatino Linotype" w:cs="Times New Roman"/>
                <w:b/>
                <w:bCs/>
                <w:color w:val="FFFFFF"/>
                <w:lang w:val="es-CL"/>
              </w:rPr>
              <w:t>Etapa del beneficiado</w:t>
            </w:r>
          </w:p>
        </w:tc>
        <w:tc>
          <w:tcPr>
            <w:tcW w:w="2111" w:type="dxa"/>
            <w:tcBorders>
              <w:top w:val="single" w:sz="4" w:space="0" w:color="auto"/>
              <w:left w:val="nil"/>
              <w:bottom w:val="single" w:sz="4" w:space="0" w:color="auto"/>
              <w:right w:val="single" w:sz="4" w:space="0" w:color="auto"/>
            </w:tcBorders>
            <w:shd w:val="clear" w:color="000000" w:fill="1F497D" w:themeFill="text2"/>
            <w:vAlign w:val="center"/>
            <w:hideMark/>
          </w:tcPr>
          <w:p w14:paraId="74F306E5" w14:textId="77777777" w:rsidR="00601A8F" w:rsidRPr="00601A8F" w:rsidRDefault="00601A8F" w:rsidP="00601A8F">
            <w:pPr>
              <w:jc w:val="center"/>
              <w:rPr>
                <w:rFonts w:ascii="Palatino Linotype" w:eastAsia="Times New Roman" w:hAnsi="Palatino Linotype" w:cs="Times New Roman"/>
                <w:b/>
                <w:bCs/>
                <w:color w:val="FFFFFF"/>
                <w:lang w:val="es-CL"/>
              </w:rPr>
            </w:pPr>
            <w:r w:rsidRPr="00601A8F">
              <w:rPr>
                <w:rFonts w:ascii="Palatino Linotype" w:eastAsia="Times New Roman" w:hAnsi="Palatino Linotype" w:cs="Times New Roman"/>
                <w:b/>
                <w:bCs/>
                <w:color w:val="FFFFFF"/>
                <w:lang w:val="es-CL"/>
              </w:rPr>
              <w:t>Cantidad</w:t>
            </w:r>
          </w:p>
        </w:tc>
        <w:tc>
          <w:tcPr>
            <w:tcW w:w="2111" w:type="dxa"/>
            <w:tcBorders>
              <w:top w:val="single" w:sz="4" w:space="0" w:color="auto"/>
              <w:left w:val="nil"/>
              <w:bottom w:val="single" w:sz="4" w:space="0" w:color="auto"/>
              <w:right w:val="single" w:sz="4" w:space="0" w:color="auto"/>
            </w:tcBorders>
            <w:shd w:val="clear" w:color="000000" w:fill="1F497D" w:themeFill="text2"/>
            <w:vAlign w:val="center"/>
            <w:hideMark/>
          </w:tcPr>
          <w:p w14:paraId="2A5C6339" w14:textId="77777777" w:rsidR="00601A8F" w:rsidRPr="00601A8F" w:rsidRDefault="00601A8F" w:rsidP="00601A8F">
            <w:pPr>
              <w:jc w:val="center"/>
              <w:rPr>
                <w:rFonts w:ascii="Palatino Linotype" w:eastAsia="Times New Roman" w:hAnsi="Palatino Linotype" w:cs="Times New Roman"/>
                <w:b/>
                <w:bCs/>
                <w:color w:val="FFFFFF"/>
                <w:lang w:val="es-CL"/>
              </w:rPr>
            </w:pPr>
            <w:r w:rsidRPr="00601A8F">
              <w:rPr>
                <w:rFonts w:ascii="Palatino Linotype" w:eastAsia="Times New Roman" w:hAnsi="Palatino Linotype" w:cs="Times New Roman"/>
                <w:b/>
                <w:bCs/>
                <w:color w:val="FFFFFF"/>
                <w:lang w:val="es-CL"/>
              </w:rPr>
              <w:t>Porcentaje</w:t>
            </w:r>
          </w:p>
        </w:tc>
      </w:tr>
      <w:tr w:rsidR="00601A8F" w:rsidRPr="00601A8F" w14:paraId="6EA383ED" w14:textId="77777777" w:rsidTr="00601A8F">
        <w:trPr>
          <w:trHeight w:val="628"/>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70747D27" w14:textId="77777777" w:rsidR="00601A8F" w:rsidRPr="00601A8F" w:rsidRDefault="00601A8F" w:rsidP="00601A8F">
            <w:pP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Estudiantes</w:t>
            </w:r>
          </w:p>
        </w:tc>
        <w:tc>
          <w:tcPr>
            <w:tcW w:w="2111" w:type="dxa"/>
            <w:tcBorders>
              <w:top w:val="nil"/>
              <w:left w:val="nil"/>
              <w:bottom w:val="single" w:sz="4" w:space="0" w:color="auto"/>
              <w:right w:val="single" w:sz="4" w:space="0" w:color="auto"/>
            </w:tcBorders>
            <w:shd w:val="clear" w:color="auto" w:fill="auto"/>
            <w:noWrap/>
            <w:vAlign w:val="center"/>
            <w:hideMark/>
          </w:tcPr>
          <w:p w14:paraId="3FF23E39"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397.700</w:t>
            </w:r>
          </w:p>
        </w:tc>
        <w:tc>
          <w:tcPr>
            <w:tcW w:w="2111" w:type="dxa"/>
            <w:tcBorders>
              <w:top w:val="nil"/>
              <w:left w:val="nil"/>
              <w:bottom w:val="single" w:sz="4" w:space="0" w:color="auto"/>
              <w:right w:val="single" w:sz="4" w:space="0" w:color="auto"/>
            </w:tcBorders>
            <w:shd w:val="clear" w:color="auto" w:fill="auto"/>
            <w:noWrap/>
            <w:vAlign w:val="center"/>
            <w:hideMark/>
          </w:tcPr>
          <w:p w14:paraId="4B49F0B1"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45%</w:t>
            </w:r>
          </w:p>
        </w:tc>
      </w:tr>
      <w:tr w:rsidR="00601A8F" w:rsidRPr="00601A8F" w14:paraId="6F38C0FB" w14:textId="77777777" w:rsidTr="00601A8F">
        <w:trPr>
          <w:trHeight w:val="628"/>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1208FBD5" w14:textId="77777777" w:rsidR="00601A8F" w:rsidRPr="00601A8F" w:rsidRDefault="00601A8F" w:rsidP="00601A8F">
            <w:pP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Egresados en período de gracia</w:t>
            </w:r>
          </w:p>
        </w:tc>
        <w:tc>
          <w:tcPr>
            <w:tcW w:w="2111" w:type="dxa"/>
            <w:tcBorders>
              <w:top w:val="nil"/>
              <w:left w:val="nil"/>
              <w:bottom w:val="single" w:sz="4" w:space="0" w:color="auto"/>
              <w:right w:val="single" w:sz="4" w:space="0" w:color="auto"/>
            </w:tcBorders>
            <w:shd w:val="clear" w:color="auto" w:fill="auto"/>
            <w:noWrap/>
            <w:vAlign w:val="center"/>
            <w:hideMark/>
          </w:tcPr>
          <w:p w14:paraId="7DB1E108"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86.377</w:t>
            </w:r>
          </w:p>
        </w:tc>
        <w:tc>
          <w:tcPr>
            <w:tcW w:w="2111" w:type="dxa"/>
            <w:tcBorders>
              <w:top w:val="nil"/>
              <w:left w:val="nil"/>
              <w:bottom w:val="single" w:sz="4" w:space="0" w:color="auto"/>
              <w:right w:val="single" w:sz="4" w:space="0" w:color="auto"/>
            </w:tcBorders>
            <w:shd w:val="clear" w:color="auto" w:fill="auto"/>
            <w:noWrap/>
            <w:vAlign w:val="center"/>
            <w:hideMark/>
          </w:tcPr>
          <w:p w14:paraId="2C12FB20"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10%</w:t>
            </w:r>
          </w:p>
        </w:tc>
      </w:tr>
      <w:tr w:rsidR="00601A8F" w:rsidRPr="00601A8F" w14:paraId="5ECA9CA3" w14:textId="77777777" w:rsidTr="00601A8F">
        <w:trPr>
          <w:trHeight w:val="628"/>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6F504C86" w14:textId="77777777" w:rsidR="00601A8F" w:rsidRPr="00601A8F" w:rsidRDefault="00601A8F" w:rsidP="00601A8F">
            <w:pP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Egresados en etapa de pago</w:t>
            </w:r>
          </w:p>
        </w:tc>
        <w:tc>
          <w:tcPr>
            <w:tcW w:w="2111" w:type="dxa"/>
            <w:tcBorders>
              <w:top w:val="nil"/>
              <w:left w:val="nil"/>
              <w:bottom w:val="single" w:sz="4" w:space="0" w:color="auto"/>
              <w:right w:val="single" w:sz="4" w:space="0" w:color="auto"/>
            </w:tcBorders>
            <w:shd w:val="clear" w:color="auto" w:fill="auto"/>
            <w:noWrap/>
            <w:vAlign w:val="center"/>
            <w:hideMark/>
          </w:tcPr>
          <w:p w14:paraId="7694ADE2"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390.220</w:t>
            </w:r>
          </w:p>
        </w:tc>
        <w:tc>
          <w:tcPr>
            <w:tcW w:w="2111" w:type="dxa"/>
            <w:tcBorders>
              <w:top w:val="nil"/>
              <w:left w:val="nil"/>
              <w:bottom w:val="single" w:sz="4" w:space="0" w:color="auto"/>
              <w:right w:val="single" w:sz="4" w:space="0" w:color="auto"/>
            </w:tcBorders>
            <w:shd w:val="clear" w:color="auto" w:fill="auto"/>
            <w:noWrap/>
            <w:vAlign w:val="center"/>
            <w:hideMark/>
          </w:tcPr>
          <w:p w14:paraId="40DFA506"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45%</w:t>
            </w:r>
          </w:p>
        </w:tc>
      </w:tr>
      <w:tr w:rsidR="00601A8F" w:rsidRPr="00601A8F" w14:paraId="2143026A" w14:textId="77777777" w:rsidTr="00601A8F">
        <w:trPr>
          <w:trHeight w:val="333"/>
        </w:trPr>
        <w:tc>
          <w:tcPr>
            <w:tcW w:w="3342" w:type="dxa"/>
            <w:tcBorders>
              <w:top w:val="nil"/>
              <w:left w:val="single" w:sz="4" w:space="0" w:color="auto"/>
              <w:bottom w:val="single" w:sz="4" w:space="0" w:color="auto"/>
              <w:right w:val="single" w:sz="4" w:space="0" w:color="auto"/>
            </w:tcBorders>
            <w:shd w:val="clear" w:color="auto" w:fill="auto"/>
            <w:vAlign w:val="center"/>
            <w:hideMark/>
          </w:tcPr>
          <w:p w14:paraId="1DE801AB" w14:textId="77777777" w:rsidR="00601A8F" w:rsidRPr="00601A8F" w:rsidRDefault="00601A8F" w:rsidP="00601A8F">
            <w:pP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Total</w:t>
            </w:r>
          </w:p>
        </w:tc>
        <w:tc>
          <w:tcPr>
            <w:tcW w:w="2111" w:type="dxa"/>
            <w:tcBorders>
              <w:top w:val="nil"/>
              <w:left w:val="nil"/>
              <w:bottom w:val="single" w:sz="4" w:space="0" w:color="auto"/>
              <w:right w:val="single" w:sz="4" w:space="0" w:color="auto"/>
            </w:tcBorders>
            <w:shd w:val="clear" w:color="auto" w:fill="auto"/>
            <w:noWrap/>
            <w:vAlign w:val="center"/>
            <w:hideMark/>
          </w:tcPr>
          <w:p w14:paraId="6894B889"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874.297</w:t>
            </w:r>
          </w:p>
        </w:tc>
        <w:tc>
          <w:tcPr>
            <w:tcW w:w="2111" w:type="dxa"/>
            <w:tcBorders>
              <w:top w:val="nil"/>
              <w:left w:val="nil"/>
              <w:bottom w:val="single" w:sz="4" w:space="0" w:color="auto"/>
              <w:right w:val="single" w:sz="4" w:space="0" w:color="auto"/>
            </w:tcBorders>
            <w:shd w:val="clear" w:color="auto" w:fill="auto"/>
            <w:noWrap/>
            <w:vAlign w:val="center"/>
            <w:hideMark/>
          </w:tcPr>
          <w:p w14:paraId="2C78618C" w14:textId="77777777" w:rsidR="00601A8F" w:rsidRPr="00601A8F" w:rsidRDefault="00601A8F" w:rsidP="00601A8F">
            <w:pPr>
              <w:jc w:val="center"/>
              <w:rPr>
                <w:rFonts w:ascii="Palatino Linotype" w:eastAsia="Times New Roman" w:hAnsi="Palatino Linotype" w:cs="Times New Roman"/>
                <w:color w:val="000000"/>
                <w:lang w:val="es-CL"/>
              </w:rPr>
            </w:pPr>
            <w:r w:rsidRPr="00601A8F">
              <w:rPr>
                <w:rFonts w:ascii="Palatino Linotype" w:eastAsia="Times New Roman" w:hAnsi="Palatino Linotype" w:cs="Times New Roman"/>
                <w:color w:val="000000"/>
                <w:lang w:val="es-CL"/>
              </w:rPr>
              <w:t>100%</w:t>
            </w:r>
          </w:p>
        </w:tc>
      </w:tr>
    </w:tbl>
    <w:p w14:paraId="7C4BAA04" w14:textId="266D0933" w:rsidR="00A8431F" w:rsidRPr="00A8431F" w:rsidRDefault="00601A8F" w:rsidP="00A8431F">
      <w:pPr>
        <w:rPr>
          <w:rFonts w:ascii="Palatino Linotype" w:hAnsi="Palatino Linotype"/>
          <w:lang w:val="es-ES"/>
        </w:rPr>
      </w:pPr>
      <w:r>
        <w:rPr>
          <w:rFonts w:ascii="Palatino Linotype" w:hAnsi="Palatino Linotype"/>
          <w:lang w:val="es-ES"/>
        </w:rPr>
        <w:t>Fuente: Elaboración propia en base a datos de Comisión Ingresa.</w:t>
      </w:r>
    </w:p>
    <w:p w14:paraId="77355DF7" w14:textId="77777777" w:rsidR="00A8431F" w:rsidRPr="00A8431F" w:rsidRDefault="00A8431F" w:rsidP="00A8431F">
      <w:pPr>
        <w:rPr>
          <w:lang w:val="es-ES"/>
        </w:rPr>
      </w:pPr>
    </w:p>
    <w:p w14:paraId="33C778B0" w14:textId="77777777" w:rsidR="001F7CAC" w:rsidRDefault="001F7CAC" w:rsidP="005315ED">
      <w:pPr>
        <w:jc w:val="both"/>
        <w:rPr>
          <w:rFonts w:ascii="Palatino Linotype" w:hAnsi="Palatino Linotype"/>
        </w:rPr>
      </w:pPr>
    </w:p>
    <w:p w14:paraId="066DB8FB" w14:textId="77777777" w:rsidR="001F7CAC" w:rsidRDefault="001F7CAC" w:rsidP="005315ED">
      <w:pPr>
        <w:jc w:val="both"/>
        <w:rPr>
          <w:rFonts w:ascii="Palatino Linotype" w:hAnsi="Palatino Linotype"/>
        </w:rPr>
      </w:pPr>
    </w:p>
    <w:p w14:paraId="3A5E1BC6" w14:textId="77777777" w:rsidR="001F7CAC" w:rsidRDefault="001F7CAC" w:rsidP="005315ED">
      <w:pPr>
        <w:jc w:val="both"/>
        <w:rPr>
          <w:rFonts w:ascii="Palatino Linotype" w:hAnsi="Palatino Linotype"/>
        </w:rPr>
      </w:pPr>
    </w:p>
    <w:p w14:paraId="74E1A1AD" w14:textId="77777777" w:rsidR="00890E76" w:rsidRDefault="00890E76" w:rsidP="001F7CAC">
      <w:pPr>
        <w:pStyle w:val="Ttulo2"/>
        <w:rPr>
          <w:rFonts w:ascii="Palatino Linotype" w:hAnsi="Palatino Linotype"/>
          <w:b w:val="0"/>
          <w:color w:val="auto"/>
          <w:sz w:val="28"/>
        </w:rPr>
      </w:pPr>
      <w:r>
        <w:rPr>
          <w:rFonts w:ascii="Palatino Linotype" w:hAnsi="Palatino Linotype"/>
          <w:b w:val="0"/>
          <w:color w:val="auto"/>
          <w:sz w:val="28"/>
        </w:rPr>
        <w:br w:type="page"/>
      </w:r>
    </w:p>
    <w:p w14:paraId="398F195F" w14:textId="0D3CE9CA" w:rsidR="001F7CAC" w:rsidRPr="00AE18CD" w:rsidRDefault="001F7CAC" w:rsidP="001F7CAC">
      <w:pPr>
        <w:pStyle w:val="Ttulo2"/>
        <w:rPr>
          <w:rFonts w:ascii="Palatino Linotype" w:hAnsi="Palatino Linotype"/>
          <w:b w:val="0"/>
          <w:color w:val="auto"/>
          <w:sz w:val="28"/>
        </w:rPr>
      </w:pPr>
      <w:bookmarkStart w:id="14" w:name="_Toc391553445"/>
      <w:r>
        <w:rPr>
          <w:rFonts w:ascii="Palatino Linotype" w:hAnsi="Palatino Linotype"/>
          <w:b w:val="0"/>
          <w:color w:val="auto"/>
          <w:sz w:val="28"/>
        </w:rPr>
        <w:lastRenderedPageBreak/>
        <w:t>C) Propuesta del gobierno para cambiar el financiamiento en la educación superior</w:t>
      </w:r>
      <w:bookmarkEnd w:id="14"/>
    </w:p>
    <w:p w14:paraId="475C434F" w14:textId="77777777" w:rsidR="001F7CAC" w:rsidRDefault="001F7CAC" w:rsidP="005315ED">
      <w:pPr>
        <w:jc w:val="both"/>
        <w:rPr>
          <w:rFonts w:ascii="Palatino Linotype" w:hAnsi="Palatino Linotype"/>
        </w:rPr>
      </w:pPr>
    </w:p>
    <w:p w14:paraId="6BE6ACAB" w14:textId="77777777" w:rsidR="00C4193B" w:rsidRDefault="00C4193B" w:rsidP="005315ED">
      <w:pPr>
        <w:jc w:val="both"/>
        <w:rPr>
          <w:rFonts w:ascii="Palatino Linotype" w:hAnsi="Palatino Linotype"/>
        </w:rPr>
      </w:pPr>
    </w:p>
    <w:p w14:paraId="30F62D82" w14:textId="2906D7D0" w:rsidR="00C4193B" w:rsidRDefault="0030226F" w:rsidP="005315ED">
      <w:pPr>
        <w:jc w:val="both"/>
        <w:rPr>
          <w:rFonts w:ascii="Palatino Linotype" w:hAnsi="Palatino Linotype"/>
        </w:rPr>
      </w:pPr>
      <w:r>
        <w:rPr>
          <w:rFonts w:ascii="Palatino Linotype" w:hAnsi="Palatino Linotype"/>
        </w:rPr>
        <w:t>El gobierno actual ha presentado un proyecto de ley</w:t>
      </w:r>
      <w:r w:rsidR="007C17AF">
        <w:rPr>
          <w:rStyle w:val="Refdenotaalpie"/>
          <w:rFonts w:ascii="Palatino Linotype" w:hAnsi="Palatino Linotype"/>
        </w:rPr>
        <w:footnoteReference w:id="13"/>
      </w:r>
      <w:r>
        <w:rPr>
          <w:rFonts w:ascii="Palatino Linotype" w:hAnsi="Palatino Linotype"/>
        </w:rPr>
        <w:t xml:space="preserve"> que crea un nuevo Sistema de Financiamiento Solidario </w:t>
      </w:r>
      <w:r w:rsidR="00270635">
        <w:rPr>
          <w:rFonts w:ascii="Palatino Linotype" w:hAnsi="Palatino Linotype"/>
        </w:rPr>
        <w:t xml:space="preserve">(SIFS) </w:t>
      </w:r>
      <w:r>
        <w:rPr>
          <w:rFonts w:ascii="Palatino Linotype" w:hAnsi="Palatino Linotype"/>
        </w:rPr>
        <w:t>para la educación superior</w:t>
      </w:r>
      <w:r w:rsidR="007C17AF">
        <w:rPr>
          <w:rFonts w:ascii="Palatino Linotype" w:hAnsi="Palatino Linotype"/>
        </w:rPr>
        <w:t xml:space="preserve">, el cual tiene por objeto reemplazar al FSCU y al CAE. </w:t>
      </w:r>
    </w:p>
    <w:p w14:paraId="02D5378C" w14:textId="77777777" w:rsidR="00C4193B" w:rsidRDefault="00C4193B" w:rsidP="005315ED">
      <w:pPr>
        <w:jc w:val="both"/>
        <w:rPr>
          <w:rFonts w:ascii="Palatino Linotype" w:hAnsi="Palatino Linotype"/>
        </w:rPr>
      </w:pPr>
    </w:p>
    <w:p w14:paraId="1ED82609" w14:textId="0F046C00" w:rsidR="007C17AF" w:rsidRDefault="007C17AF" w:rsidP="005315ED">
      <w:pPr>
        <w:jc w:val="both"/>
        <w:rPr>
          <w:rFonts w:ascii="Palatino Linotype" w:hAnsi="Palatino Linotype"/>
        </w:rPr>
      </w:pPr>
      <w:r>
        <w:rPr>
          <w:rFonts w:ascii="Palatino Linotype" w:hAnsi="Palatino Linotype"/>
        </w:rPr>
        <w:t>Este sistema será administrado por el Estado, sin intervención de instituciones financieras privada</w:t>
      </w:r>
      <w:r w:rsidR="00890E76">
        <w:rPr>
          <w:rFonts w:ascii="Palatino Linotype" w:hAnsi="Palatino Linotype"/>
        </w:rPr>
        <w:t>s</w:t>
      </w:r>
      <w:r>
        <w:rPr>
          <w:rFonts w:ascii="Palatino Linotype" w:hAnsi="Palatino Linotype"/>
        </w:rPr>
        <w:t xml:space="preserve">. </w:t>
      </w:r>
      <w:r w:rsidR="00C4193B">
        <w:rPr>
          <w:rFonts w:ascii="Palatino Linotype" w:hAnsi="Palatino Linotype"/>
        </w:rPr>
        <w:t>Los créditos se otorgarán a una tasa de interés real de 2%. Los estudiantes no tendrán la obligación de pagar mientras estudian o cuando su ingreso es menor al sueldo mínimo; una vez estén trabajando, la cuota a pagar en será como máximo el 10% de sus ingresos, y se concederán 18 meses de gracia a partir de la fecha en que el estudiante egresa o bien deserta del sistema universitario para empezar a pagar la deuda. La deuda expirará después de pagar la cuota mensual Nº 180, que equivale a 15 años pagando de forma ininterrumpida.</w:t>
      </w:r>
    </w:p>
    <w:p w14:paraId="63C76E8F" w14:textId="77777777" w:rsidR="00270635" w:rsidRDefault="00270635" w:rsidP="005315ED">
      <w:pPr>
        <w:jc w:val="both"/>
        <w:rPr>
          <w:rFonts w:ascii="Palatino Linotype" w:hAnsi="Palatino Linotype"/>
        </w:rPr>
      </w:pPr>
    </w:p>
    <w:p w14:paraId="74E9559D" w14:textId="76740B1B" w:rsidR="00270635" w:rsidRPr="00D54CE1" w:rsidRDefault="00270635" w:rsidP="005315ED">
      <w:pPr>
        <w:jc w:val="both"/>
        <w:rPr>
          <w:rFonts w:ascii="Palatino Linotype" w:hAnsi="Palatino Linotype"/>
        </w:rPr>
      </w:pPr>
      <w:r>
        <w:rPr>
          <w:rFonts w:ascii="Palatino Linotype" w:hAnsi="Palatino Linotype"/>
        </w:rPr>
        <w:t>Este crédito será otorgado por una sociedad anónima del Estado, denominada “La Administradora”</w:t>
      </w:r>
      <w:r>
        <w:rPr>
          <w:rStyle w:val="Refdenotaalpie"/>
          <w:rFonts w:ascii="Palatino Linotype" w:hAnsi="Palatino Linotype"/>
        </w:rPr>
        <w:footnoteReference w:id="14"/>
      </w:r>
      <w:r w:rsidR="00890E76">
        <w:rPr>
          <w:rFonts w:ascii="Palatino Linotype" w:hAnsi="Palatino Linotype"/>
        </w:rPr>
        <w:t>.</w:t>
      </w:r>
    </w:p>
    <w:p w14:paraId="1B978027" w14:textId="7010EDAA" w:rsidR="00C4193B" w:rsidRDefault="00C4193B" w:rsidP="00C4193B">
      <w:pPr>
        <w:pStyle w:val="Ttulo3"/>
        <w:rPr>
          <w:rFonts w:ascii="Palatino Linotype" w:hAnsi="Palatino Linotype"/>
          <w:color w:val="auto"/>
          <w:sz w:val="26"/>
          <w:szCs w:val="26"/>
          <w:lang w:val="es-ES"/>
        </w:rPr>
      </w:pPr>
      <w:bookmarkStart w:id="15" w:name="_Toc391553446"/>
      <w:r>
        <w:rPr>
          <w:rFonts w:ascii="Palatino Linotype" w:hAnsi="Palatino Linotype"/>
          <w:color w:val="auto"/>
          <w:sz w:val="26"/>
          <w:szCs w:val="26"/>
          <w:lang w:val="es-ES"/>
        </w:rPr>
        <w:t>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Características del crédito</w:t>
      </w:r>
      <w:bookmarkEnd w:id="15"/>
    </w:p>
    <w:p w14:paraId="0F98B2D2" w14:textId="77777777" w:rsidR="00C4193B" w:rsidRDefault="00C4193B" w:rsidP="00C4193B"/>
    <w:p w14:paraId="547A889E" w14:textId="3769216F" w:rsidR="00C4193B" w:rsidRDefault="00D72A29" w:rsidP="00D72A29">
      <w:pPr>
        <w:jc w:val="both"/>
        <w:rPr>
          <w:rFonts w:ascii="Palatino Linotype" w:hAnsi="Palatino Linotype"/>
        </w:rPr>
      </w:pPr>
      <w:r w:rsidRPr="00D72A29">
        <w:rPr>
          <w:rFonts w:ascii="Palatino Linotype" w:hAnsi="Palatino Linotype"/>
        </w:rPr>
        <w:t xml:space="preserve">De acuerdo a la </w:t>
      </w:r>
      <w:r>
        <w:rPr>
          <w:rFonts w:ascii="Palatino Linotype" w:hAnsi="Palatino Linotype"/>
        </w:rPr>
        <w:t>ley, el monto del crédito se expresará en UTM, y se entregará a los beneficiarios en su equivalente en pesos. El monto del crédito cubrirá el arancel regulado del programa de estudios, más un porcentaje variable de la brecha entre el arancel regulado y el arancel real.</w:t>
      </w:r>
      <w:r w:rsidR="00416B07">
        <w:rPr>
          <w:rFonts w:ascii="Palatino Linotype" w:hAnsi="Palatino Linotype"/>
        </w:rPr>
        <w:t xml:space="preserve"> El monto mínimo del préstamo será el equivalente a 5 UTM, mientras que el máximo corresponderá al valor del arancel real del programa de estudios, o bien a 1,5 veces el valor del arancel regulado (el menor entre estos dos valores, será el límite superior del préstamo).</w:t>
      </w:r>
    </w:p>
    <w:p w14:paraId="5734805B" w14:textId="77777777" w:rsidR="00416B07" w:rsidRDefault="00416B07" w:rsidP="00D72A29">
      <w:pPr>
        <w:jc w:val="both"/>
        <w:rPr>
          <w:rFonts w:ascii="Palatino Linotype" w:hAnsi="Palatino Linotype"/>
        </w:rPr>
      </w:pPr>
    </w:p>
    <w:p w14:paraId="142D0584" w14:textId="7E06B56C" w:rsidR="00416B07" w:rsidRDefault="00416B07" w:rsidP="00D72A29">
      <w:pPr>
        <w:jc w:val="both"/>
        <w:rPr>
          <w:rFonts w:ascii="Palatino Linotype" w:hAnsi="Palatino Linotype"/>
        </w:rPr>
      </w:pPr>
      <w:r>
        <w:rPr>
          <w:rFonts w:ascii="Palatino Linotype" w:hAnsi="Palatino Linotype"/>
        </w:rPr>
        <w:t xml:space="preserve">La cobertura del crédito para la brecha entre el arancel regulado y el arancel real vendrá determinado por el nivel socioeconómico del estudiante, y por </w:t>
      </w:r>
      <w:r w:rsidR="00C10F76">
        <w:rPr>
          <w:rFonts w:ascii="Palatino Linotype" w:hAnsi="Palatino Linotype"/>
        </w:rPr>
        <w:t>el</w:t>
      </w:r>
      <w:r>
        <w:rPr>
          <w:rFonts w:ascii="Palatino Linotype" w:hAnsi="Palatino Linotype"/>
        </w:rPr>
        <w:t xml:space="preserve"> nivel de acreditación de la IES, de acuerdo a la tabla siguiente:</w:t>
      </w:r>
    </w:p>
    <w:p w14:paraId="65FA32E4" w14:textId="77777777" w:rsidR="00416B07" w:rsidRDefault="00416B07" w:rsidP="00D72A29">
      <w:pPr>
        <w:jc w:val="both"/>
        <w:rPr>
          <w:rFonts w:ascii="Palatino Linotype" w:hAnsi="Palatino Linotype"/>
        </w:rPr>
      </w:pPr>
    </w:p>
    <w:p w14:paraId="17C41556" w14:textId="77777777" w:rsidR="00AE78E6" w:rsidRDefault="00AE78E6" w:rsidP="00D72A29">
      <w:pPr>
        <w:jc w:val="both"/>
        <w:rPr>
          <w:rFonts w:ascii="Palatino Linotype" w:hAnsi="Palatino Linotype"/>
        </w:rPr>
      </w:pPr>
    </w:p>
    <w:p w14:paraId="58733851" w14:textId="77777777" w:rsidR="00AE78E6" w:rsidRDefault="00AE78E6" w:rsidP="00D72A29">
      <w:pPr>
        <w:jc w:val="both"/>
        <w:rPr>
          <w:rFonts w:ascii="Palatino Linotype" w:hAnsi="Palatino Linotype"/>
        </w:rPr>
      </w:pPr>
    </w:p>
    <w:p w14:paraId="0C5A1E1C" w14:textId="5D06F97E" w:rsidR="00E17FA7" w:rsidRPr="00E17FA7" w:rsidRDefault="00E17FA7" w:rsidP="00E17FA7">
      <w:pPr>
        <w:pStyle w:val="Epgrafe"/>
        <w:keepNext/>
        <w:rPr>
          <w:rFonts w:ascii="Palatino Linotype" w:hAnsi="Palatino Linotype"/>
          <w:color w:val="auto"/>
          <w:sz w:val="22"/>
        </w:rPr>
      </w:pPr>
      <w:bookmarkStart w:id="16" w:name="_Toc391553472"/>
      <w:r w:rsidRPr="00E17FA7">
        <w:rPr>
          <w:rFonts w:ascii="Palatino Linotype" w:hAnsi="Palatino Linotype"/>
          <w:color w:val="auto"/>
          <w:sz w:val="22"/>
        </w:rPr>
        <w:lastRenderedPageBreak/>
        <w:t xml:space="preserve">Tabla </w:t>
      </w:r>
      <w:r w:rsidRPr="00E17FA7">
        <w:rPr>
          <w:rFonts w:ascii="Palatino Linotype" w:hAnsi="Palatino Linotype"/>
          <w:color w:val="auto"/>
          <w:sz w:val="22"/>
        </w:rPr>
        <w:fldChar w:fldCharType="begin"/>
      </w:r>
      <w:r w:rsidRPr="00E17FA7">
        <w:rPr>
          <w:rFonts w:ascii="Palatino Linotype" w:hAnsi="Palatino Linotype"/>
          <w:color w:val="auto"/>
          <w:sz w:val="22"/>
        </w:rPr>
        <w:instrText xml:space="preserve"> SEQ Tabla \* ARABIC </w:instrText>
      </w:r>
      <w:r w:rsidRPr="00E17FA7">
        <w:rPr>
          <w:rFonts w:ascii="Palatino Linotype" w:hAnsi="Palatino Linotype"/>
          <w:color w:val="auto"/>
          <w:sz w:val="22"/>
        </w:rPr>
        <w:fldChar w:fldCharType="separate"/>
      </w:r>
      <w:r w:rsidR="00DC1EC1">
        <w:rPr>
          <w:rFonts w:ascii="Palatino Linotype" w:hAnsi="Palatino Linotype"/>
          <w:noProof/>
          <w:color w:val="auto"/>
          <w:sz w:val="22"/>
        </w:rPr>
        <w:t>6</w:t>
      </w:r>
      <w:r w:rsidRPr="00E17FA7">
        <w:rPr>
          <w:rFonts w:ascii="Palatino Linotype" w:hAnsi="Palatino Linotype"/>
          <w:color w:val="auto"/>
          <w:sz w:val="22"/>
        </w:rPr>
        <w:fldChar w:fldCharType="end"/>
      </w:r>
      <w:r w:rsidRPr="00E17FA7">
        <w:rPr>
          <w:rFonts w:ascii="Palatino Linotype" w:hAnsi="Palatino Linotype"/>
          <w:color w:val="auto"/>
          <w:sz w:val="22"/>
        </w:rPr>
        <w:t>:</w:t>
      </w:r>
      <w:r>
        <w:rPr>
          <w:rFonts w:ascii="Palatino Linotype" w:hAnsi="Palatino Linotype"/>
          <w:color w:val="auto"/>
          <w:sz w:val="22"/>
        </w:rPr>
        <w:t xml:space="preserve"> Porcentaje de cobertura de la diferencia entre el arancel regulado y el real</w:t>
      </w:r>
      <w:bookmarkEnd w:id="16"/>
    </w:p>
    <w:tbl>
      <w:tblPr>
        <w:tblW w:w="8849" w:type="dxa"/>
        <w:tblInd w:w="55" w:type="dxa"/>
        <w:tblCellMar>
          <w:left w:w="70" w:type="dxa"/>
          <w:right w:w="70" w:type="dxa"/>
        </w:tblCellMar>
        <w:tblLook w:val="04A0" w:firstRow="1" w:lastRow="0" w:firstColumn="1" w:lastColumn="0" w:noHBand="0" w:noVBand="1"/>
      </w:tblPr>
      <w:tblGrid>
        <w:gridCol w:w="2325"/>
        <w:gridCol w:w="2172"/>
        <w:gridCol w:w="2172"/>
        <w:gridCol w:w="2180"/>
      </w:tblGrid>
      <w:tr w:rsidR="00E17FA7" w:rsidRPr="00E17FA7" w14:paraId="76F01B25" w14:textId="77777777" w:rsidTr="00E17FA7">
        <w:trPr>
          <w:trHeight w:val="307"/>
        </w:trPr>
        <w:tc>
          <w:tcPr>
            <w:tcW w:w="2325" w:type="dxa"/>
            <w:vMerge w:val="restart"/>
            <w:tcBorders>
              <w:top w:val="single" w:sz="4" w:space="0" w:color="auto"/>
              <w:left w:val="single" w:sz="4" w:space="0" w:color="auto"/>
              <w:bottom w:val="single" w:sz="4" w:space="0" w:color="auto"/>
              <w:right w:val="single" w:sz="4" w:space="0" w:color="auto"/>
            </w:tcBorders>
            <w:shd w:val="clear" w:color="000000" w:fill="1F497D"/>
            <w:vAlign w:val="center"/>
            <w:hideMark/>
          </w:tcPr>
          <w:p w14:paraId="76E850E1" w14:textId="77777777" w:rsidR="00E17FA7" w:rsidRPr="00E17FA7" w:rsidRDefault="00E17FA7" w:rsidP="00E17FA7">
            <w:pPr>
              <w:jc w:val="center"/>
              <w:rPr>
                <w:rFonts w:ascii="Palatino Linotype" w:eastAsia="Times New Roman" w:hAnsi="Palatino Linotype" w:cs="Times New Roman"/>
                <w:b/>
                <w:bCs/>
                <w:color w:val="FFFFFF"/>
                <w:sz w:val="22"/>
                <w:szCs w:val="22"/>
                <w:lang w:val="es-CL"/>
              </w:rPr>
            </w:pPr>
            <w:r w:rsidRPr="00E17FA7">
              <w:rPr>
                <w:rFonts w:ascii="Palatino Linotype" w:eastAsia="Times New Roman" w:hAnsi="Palatino Linotype" w:cs="Times New Roman"/>
                <w:b/>
                <w:bCs/>
                <w:color w:val="FFFFFF"/>
                <w:sz w:val="22"/>
                <w:szCs w:val="22"/>
                <w:lang w:val="es-CL"/>
              </w:rPr>
              <w:t>Decil socioeconómico</w:t>
            </w:r>
          </w:p>
        </w:tc>
        <w:tc>
          <w:tcPr>
            <w:tcW w:w="6524" w:type="dxa"/>
            <w:gridSpan w:val="3"/>
            <w:tcBorders>
              <w:top w:val="single" w:sz="4" w:space="0" w:color="auto"/>
              <w:left w:val="nil"/>
              <w:bottom w:val="single" w:sz="4" w:space="0" w:color="auto"/>
              <w:right w:val="single" w:sz="4" w:space="0" w:color="auto"/>
            </w:tcBorders>
            <w:shd w:val="clear" w:color="000000" w:fill="1F497D"/>
            <w:noWrap/>
            <w:vAlign w:val="bottom"/>
            <w:hideMark/>
          </w:tcPr>
          <w:p w14:paraId="4973B4E9" w14:textId="77777777" w:rsidR="00E17FA7" w:rsidRPr="00E17FA7" w:rsidRDefault="00E17FA7" w:rsidP="00E17FA7">
            <w:pPr>
              <w:jc w:val="center"/>
              <w:rPr>
                <w:rFonts w:ascii="Palatino Linotype" w:eastAsia="Times New Roman" w:hAnsi="Palatino Linotype" w:cs="Times New Roman"/>
                <w:b/>
                <w:bCs/>
                <w:color w:val="FFFFFF"/>
                <w:sz w:val="22"/>
                <w:szCs w:val="22"/>
                <w:lang w:val="es-CL"/>
              </w:rPr>
            </w:pPr>
            <w:r w:rsidRPr="00E17FA7">
              <w:rPr>
                <w:rFonts w:ascii="Palatino Linotype" w:eastAsia="Times New Roman" w:hAnsi="Palatino Linotype" w:cs="Times New Roman"/>
                <w:b/>
                <w:bCs/>
                <w:color w:val="FFFFFF"/>
                <w:sz w:val="22"/>
                <w:szCs w:val="22"/>
                <w:lang w:val="es-CL"/>
              </w:rPr>
              <w:t>Nivel de acreditación de la IES</w:t>
            </w:r>
          </w:p>
        </w:tc>
      </w:tr>
      <w:tr w:rsidR="00E17FA7" w:rsidRPr="00E17FA7" w14:paraId="6EE34437" w14:textId="77777777" w:rsidTr="00E17FA7">
        <w:trPr>
          <w:trHeight w:val="779"/>
        </w:trPr>
        <w:tc>
          <w:tcPr>
            <w:tcW w:w="2325" w:type="dxa"/>
            <w:vMerge/>
            <w:tcBorders>
              <w:top w:val="single" w:sz="4" w:space="0" w:color="auto"/>
              <w:left w:val="single" w:sz="4" w:space="0" w:color="auto"/>
              <w:bottom w:val="single" w:sz="4" w:space="0" w:color="auto"/>
              <w:right w:val="single" w:sz="4" w:space="0" w:color="auto"/>
            </w:tcBorders>
            <w:vAlign w:val="center"/>
            <w:hideMark/>
          </w:tcPr>
          <w:p w14:paraId="744E45BC" w14:textId="77777777" w:rsidR="00E17FA7" w:rsidRPr="00E17FA7" w:rsidRDefault="00E17FA7" w:rsidP="00E17FA7">
            <w:pPr>
              <w:rPr>
                <w:rFonts w:ascii="Palatino Linotype" w:eastAsia="Times New Roman" w:hAnsi="Palatino Linotype" w:cs="Times New Roman"/>
                <w:b/>
                <w:bCs/>
                <w:color w:val="FFFFFF"/>
                <w:sz w:val="22"/>
                <w:szCs w:val="22"/>
                <w:lang w:val="es-CL"/>
              </w:rPr>
            </w:pPr>
          </w:p>
        </w:tc>
        <w:tc>
          <w:tcPr>
            <w:tcW w:w="2172" w:type="dxa"/>
            <w:tcBorders>
              <w:top w:val="nil"/>
              <w:left w:val="nil"/>
              <w:bottom w:val="single" w:sz="4" w:space="0" w:color="auto"/>
              <w:right w:val="single" w:sz="4" w:space="0" w:color="auto"/>
            </w:tcBorders>
            <w:shd w:val="clear" w:color="000000" w:fill="1F497D"/>
            <w:vAlign w:val="center"/>
            <w:hideMark/>
          </w:tcPr>
          <w:p w14:paraId="79D641B1" w14:textId="77777777" w:rsidR="00E17FA7" w:rsidRPr="00E17FA7" w:rsidRDefault="00E17FA7" w:rsidP="00E17FA7">
            <w:pPr>
              <w:jc w:val="center"/>
              <w:rPr>
                <w:rFonts w:ascii="Palatino Linotype" w:eastAsia="Times New Roman" w:hAnsi="Palatino Linotype" w:cs="Times New Roman"/>
                <w:b/>
                <w:bCs/>
                <w:color w:val="FFFFFF"/>
                <w:sz w:val="22"/>
                <w:szCs w:val="22"/>
                <w:lang w:val="es-CL"/>
              </w:rPr>
            </w:pPr>
            <w:r w:rsidRPr="00E17FA7">
              <w:rPr>
                <w:rFonts w:ascii="Palatino Linotype" w:eastAsia="Times New Roman" w:hAnsi="Palatino Linotype" w:cs="Times New Roman"/>
                <w:b/>
                <w:bCs/>
                <w:color w:val="FFFFFF"/>
                <w:sz w:val="22"/>
                <w:szCs w:val="22"/>
                <w:lang w:val="es-CL"/>
              </w:rPr>
              <w:t>Acreditación de excelencia</w:t>
            </w:r>
          </w:p>
        </w:tc>
        <w:tc>
          <w:tcPr>
            <w:tcW w:w="2172" w:type="dxa"/>
            <w:tcBorders>
              <w:top w:val="nil"/>
              <w:left w:val="nil"/>
              <w:bottom w:val="single" w:sz="4" w:space="0" w:color="auto"/>
              <w:right w:val="single" w:sz="4" w:space="0" w:color="auto"/>
            </w:tcBorders>
            <w:shd w:val="clear" w:color="000000" w:fill="1F497D"/>
            <w:vAlign w:val="center"/>
            <w:hideMark/>
          </w:tcPr>
          <w:p w14:paraId="2BA32202" w14:textId="77777777" w:rsidR="00E17FA7" w:rsidRPr="00E17FA7" w:rsidRDefault="00E17FA7" w:rsidP="00E17FA7">
            <w:pPr>
              <w:jc w:val="center"/>
              <w:rPr>
                <w:rFonts w:ascii="Palatino Linotype" w:eastAsia="Times New Roman" w:hAnsi="Palatino Linotype" w:cs="Times New Roman"/>
                <w:b/>
                <w:bCs/>
                <w:color w:val="FFFFFF"/>
                <w:sz w:val="22"/>
                <w:szCs w:val="22"/>
                <w:lang w:val="es-CL"/>
              </w:rPr>
            </w:pPr>
            <w:r w:rsidRPr="00E17FA7">
              <w:rPr>
                <w:rFonts w:ascii="Palatino Linotype" w:eastAsia="Times New Roman" w:hAnsi="Palatino Linotype" w:cs="Times New Roman"/>
                <w:b/>
                <w:bCs/>
                <w:color w:val="FFFFFF"/>
                <w:sz w:val="22"/>
                <w:szCs w:val="22"/>
                <w:lang w:val="es-CL"/>
              </w:rPr>
              <w:t>Acreditación avanzada</w:t>
            </w:r>
          </w:p>
        </w:tc>
        <w:tc>
          <w:tcPr>
            <w:tcW w:w="2180" w:type="dxa"/>
            <w:tcBorders>
              <w:top w:val="nil"/>
              <w:left w:val="nil"/>
              <w:bottom w:val="single" w:sz="4" w:space="0" w:color="auto"/>
              <w:right w:val="single" w:sz="4" w:space="0" w:color="auto"/>
            </w:tcBorders>
            <w:shd w:val="clear" w:color="000000" w:fill="1F497D"/>
            <w:vAlign w:val="center"/>
            <w:hideMark/>
          </w:tcPr>
          <w:p w14:paraId="2C5C6033" w14:textId="77777777" w:rsidR="00E17FA7" w:rsidRPr="00E17FA7" w:rsidRDefault="00E17FA7" w:rsidP="00E17FA7">
            <w:pPr>
              <w:jc w:val="center"/>
              <w:rPr>
                <w:rFonts w:ascii="Palatino Linotype" w:eastAsia="Times New Roman" w:hAnsi="Palatino Linotype" w:cs="Times New Roman"/>
                <w:b/>
                <w:bCs/>
                <w:color w:val="FFFFFF"/>
                <w:sz w:val="22"/>
                <w:szCs w:val="22"/>
                <w:lang w:val="es-CL"/>
              </w:rPr>
            </w:pPr>
            <w:r w:rsidRPr="00E17FA7">
              <w:rPr>
                <w:rFonts w:ascii="Palatino Linotype" w:eastAsia="Times New Roman" w:hAnsi="Palatino Linotype" w:cs="Times New Roman"/>
                <w:b/>
                <w:bCs/>
                <w:color w:val="FFFFFF"/>
                <w:sz w:val="22"/>
                <w:szCs w:val="22"/>
                <w:lang w:val="es-CL"/>
              </w:rPr>
              <w:t>Acreditación básica</w:t>
            </w:r>
          </w:p>
        </w:tc>
      </w:tr>
      <w:tr w:rsidR="00E17FA7" w:rsidRPr="00E17FA7" w14:paraId="50EE73E2"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FBCDAF5"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I</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28AEEA"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90%</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CB0C8A"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80%</w:t>
            </w:r>
          </w:p>
        </w:tc>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ACF98D"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70%</w:t>
            </w:r>
          </w:p>
        </w:tc>
      </w:tr>
      <w:tr w:rsidR="00E17FA7" w:rsidRPr="00E17FA7" w14:paraId="0BA4C833"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66E080E3"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II</w:t>
            </w:r>
          </w:p>
        </w:tc>
        <w:tc>
          <w:tcPr>
            <w:tcW w:w="2172" w:type="dxa"/>
            <w:vMerge/>
            <w:tcBorders>
              <w:top w:val="nil"/>
              <w:left w:val="single" w:sz="4" w:space="0" w:color="auto"/>
              <w:bottom w:val="single" w:sz="4" w:space="0" w:color="auto"/>
              <w:right w:val="single" w:sz="4" w:space="0" w:color="auto"/>
            </w:tcBorders>
            <w:vAlign w:val="center"/>
            <w:hideMark/>
          </w:tcPr>
          <w:p w14:paraId="4DBD71DC"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72" w:type="dxa"/>
            <w:vMerge/>
            <w:tcBorders>
              <w:top w:val="nil"/>
              <w:left w:val="single" w:sz="4" w:space="0" w:color="auto"/>
              <w:bottom w:val="single" w:sz="4" w:space="0" w:color="auto"/>
              <w:right w:val="single" w:sz="4" w:space="0" w:color="auto"/>
            </w:tcBorders>
            <w:vAlign w:val="center"/>
            <w:hideMark/>
          </w:tcPr>
          <w:p w14:paraId="77C5E640"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80" w:type="dxa"/>
            <w:vMerge/>
            <w:tcBorders>
              <w:top w:val="nil"/>
              <w:left w:val="single" w:sz="4" w:space="0" w:color="auto"/>
              <w:bottom w:val="single" w:sz="4" w:space="0" w:color="auto"/>
              <w:right w:val="single" w:sz="4" w:space="0" w:color="auto"/>
            </w:tcBorders>
            <w:vAlign w:val="center"/>
            <w:hideMark/>
          </w:tcPr>
          <w:p w14:paraId="7E1F2393" w14:textId="77777777" w:rsidR="00E17FA7" w:rsidRPr="00E17FA7" w:rsidRDefault="00E17FA7" w:rsidP="00E17FA7">
            <w:pPr>
              <w:rPr>
                <w:rFonts w:ascii="Palatino Linotype" w:eastAsia="Times New Roman" w:hAnsi="Palatino Linotype" w:cs="Times New Roman"/>
                <w:color w:val="000000"/>
                <w:sz w:val="22"/>
                <w:szCs w:val="22"/>
                <w:lang w:val="es-CL"/>
              </w:rPr>
            </w:pPr>
          </w:p>
        </w:tc>
      </w:tr>
      <w:tr w:rsidR="00E17FA7" w:rsidRPr="00E17FA7" w14:paraId="42F969C4"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BA10180"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III</w:t>
            </w:r>
          </w:p>
        </w:tc>
        <w:tc>
          <w:tcPr>
            <w:tcW w:w="2172" w:type="dxa"/>
            <w:vMerge/>
            <w:tcBorders>
              <w:top w:val="nil"/>
              <w:left w:val="single" w:sz="4" w:space="0" w:color="auto"/>
              <w:bottom w:val="single" w:sz="4" w:space="0" w:color="auto"/>
              <w:right w:val="single" w:sz="4" w:space="0" w:color="auto"/>
            </w:tcBorders>
            <w:vAlign w:val="center"/>
            <w:hideMark/>
          </w:tcPr>
          <w:p w14:paraId="7AC37572"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72" w:type="dxa"/>
            <w:vMerge/>
            <w:tcBorders>
              <w:top w:val="nil"/>
              <w:left w:val="single" w:sz="4" w:space="0" w:color="auto"/>
              <w:bottom w:val="single" w:sz="4" w:space="0" w:color="auto"/>
              <w:right w:val="single" w:sz="4" w:space="0" w:color="auto"/>
            </w:tcBorders>
            <w:vAlign w:val="center"/>
            <w:hideMark/>
          </w:tcPr>
          <w:p w14:paraId="377D9079"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80" w:type="dxa"/>
            <w:vMerge/>
            <w:tcBorders>
              <w:top w:val="nil"/>
              <w:left w:val="single" w:sz="4" w:space="0" w:color="auto"/>
              <w:bottom w:val="single" w:sz="4" w:space="0" w:color="auto"/>
              <w:right w:val="single" w:sz="4" w:space="0" w:color="auto"/>
            </w:tcBorders>
            <w:vAlign w:val="center"/>
            <w:hideMark/>
          </w:tcPr>
          <w:p w14:paraId="671C47BF" w14:textId="77777777" w:rsidR="00E17FA7" w:rsidRPr="00E17FA7" w:rsidRDefault="00E17FA7" w:rsidP="00E17FA7">
            <w:pPr>
              <w:rPr>
                <w:rFonts w:ascii="Palatino Linotype" w:eastAsia="Times New Roman" w:hAnsi="Palatino Linotype" w:cs="Times New Roman"/>
                <w:color w:val="000000"/>
                <w:sz w:val="22"/>
                <w:szCs w:val="22"/>
                <w:lang w:val="es-CL"/>
              </w:rPr>
            </w:pPr>
          </w:p>
        </w:tc>
      </w:tr>
      <w:tr w:rsidR="00E17FA7" w:rsidRPr="00E17FA7" w14:paraId="12547A9C"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755B55F2"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IV</w:t>
            </w:r>
          </w:p>
        </w:tc>
        <w:tc>
          <w:tcPr>
            <w:tcW w:w="2172" w:type="dxa"/>
            <w:vMerge/>
            <w:tcBorders>
              <w:top w:val="nil"/>
              <w:left w:val="single" w:sz="4" w:space="0" w:color="auto"/>
              <w:bottom w:val="single" w:sz="4" w:space="0" w:color="auto"/>
              <w:right w:val="single" w:sz="4" w:space="0" w:color="auto"/>
            </w:tcBorders>
            <w:vAlign w:val="center"/>
            <w:hideMark/>
          </w:tcPr>
          <w:p w14:paraId="4BFD2BA2"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72" w:type="dxa"/>
            <w:vMerge/>
            <w:tcBorders>
              <w:top w:val="nil"/>
              <w:left w:val="single" w:sz="4" w:space="0" w:color="auto"/>
              <w:bottom w:val="single" w:sz="4" w:space="0" w:color="auto"/>
              <w:right w:val="single" w:sz="4" w:space="0" w:color="auto"/>
            </w:tcBorders>
            <w:vAlign w:val="center"/>
            <w:hideMark/>
          </w:tcPr>
          <w:p w14:paraId="4A7FD678"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80" w:type="dxa"/>
            <w:vMerge/>
            <w:tcBorders>
              <w:top w:val="nil"/>
              <w:left w:val="single" w:sz="4" w:space="0" w:color="auto"/>
              <w:bottom w:val="single" w:sz="4" w:space="0" w:color="auto"/>
              <w:right w:val="single" w:sz="4" w:space="0" w:color="auto"/>
            </w:tcBorders>
            <w:vAlign w:val="center"/>
            <w:hideMark/>
          </w:tcPr>
          <w:p w14:paraId="255393A9" w14:textId="77777777" w:rsidR="00E17FA7" w:rsidRPr="00E17FA7" w:rsidRDefault="00E17FA7" w:rsidP="00E17FA7">
            <w:pPr>
              <w:rPr>
                <w:rFonts w:ascii="Palatino Linotype" w:eastAsia="Times New Roman" w:hAnsi="Palatino Linotype" w:cs="Times New Roman"/>
                <w:color w:val="000000"/>
                <w:sz w:val="22"/>
                <w:szCs w:val="22"/>
                <w:lang w:val="es-CL"/>
              </w:rPr>
            </w:pPr>
          </w:p>
        </w:tc>
      </w:tr>
      <w:tr w:rsidR="00E17FA7" w:rsidRPr="00E17FA7" w14:paraId="36AFDE8D"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4DF07FB3"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V</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5FC561"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70%</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23DB6D"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60%</w:t>
            </w:r>
          </w:p>
        </w:tc>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A5BF7D"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50%</w:t>
            </w:r>
          </w:p>
        </w:tc>
      </w:tr>
      <w:tr w:rsidR="00E17FA7" w:rsidRPr="00E17FA7" w14:paraId="33102359"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13F98D49"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VI</w:t>
            </w:r>
          </w:p>
        </w:tc>
        <w:tc>
          <w:tcPr>
            <w:tcW w:w="2172" w:type="dxa"/>
            <w:vMerge/>
            <w:tcBorders>
              <w:top w:val="nil"/>
              <w:left w:val="single" w:sz="4" w:space="0" w:color="auto"/>
              <w:bottom w:val="single" w:sz="4" w:space="0" w:color="auto"/>
              <w:right w:val="single" w:sz="4" w:space="0" w:color="auto"/>
            </w:tcBorders>
            <w:vAlign w:val="center"/>
            <w:hideMark/>
          </w:tcPr>
          <w:p w14:paraId="67ADD6A0"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72" w:type="dxa"/>
            <w:vMerge/>
            <w:tcBorders>
              <w:top w:val="nil"/>
              <w:left w:val="single" w:sz="4" w:space="0" w:color="auto"/>
              <w:bottom w:val="single" w:sz="4" w:space="0" w:color="auto"/>
              <w:right w:val="single" w:sz="4" w:space="0" w:color="auto"/>
            </w:tcBorders>
            <w:vAlign w:val="center"/>
            <w:hideMark/>
          </w:tcPr>
          <w:p w14:paraId="130F9F4E"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80" w:type="dxa"/>
            <w:vMerge/>
            <w:tcBorders>
              <w:top w:val="nil"/>
              <w:left w:val="single" w:sz="4" w:space="0" w:color="auto"/>
              <w:bottom w:val="single" w:sz="4" w:space="0" w:color="auto"/>
              <w:right w:val="single" w:sz="4" w:space="0" w:color="auto"/>
            </w:tcBorders>
            <w:vAlign w:val="center"/>
            <w:hideMark/>
          </w:tcPr>
          <w:p w14:paraId="595F2B62" w14:textId="77777777" w:rsidR="00E17FA7" w:rsidRPr="00E17FA7" w:rsidRDefault="00E17FA7" w:rsidP="00E17FA7">
            <w:pPr>
              <w:rPr>
                <w:rFonts w:ascii="Palatino Linotype" w:eastAsia="Times New Roman" w:hAnsi="Palatino Linotype" w:cs="Times New Roman"/>
                <w:color w:val="000000"/>
                <w:sz w:val="22"/>
                <w:szCs w:val="22"/>
                <w:lang w:val="es-CL"/>
              </w:rPr>
            </w:pPr>
          </w:p>
        </w:tc>
      </w:tr>
      <w:tr w:rsidR="00E17FA7" w:rsidRPr="00E17FA7" w14:paraId="73A89BFA"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0D28D185"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VII</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FA9A07"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60%</w:t>
            </w:r>
          </w:p>
        </w:tc>
        <w:tc>
          <w:tcPr>
            <w:tcW w:w="217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F40005"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50%</w:t>
            </w:r>
          </w:p>
        </w:tc>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B194DC"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40%</w:t>
            </w:r>
          </w:p>
        </w:tc>
      </w:tr>
      <w:tr w:rsidR="00E17FA7" w:rsidRPr="00E17FA7" w14:paraId="15A97EB6"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674C0EE"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VIII</w:t>
            </w:r>
          </w:p>
        </w:tc>
        <w:tc>
          <w:tcPr>
            <w:tcW w:w="2172" w:type="dxa"/>
            <w:vMerge/>
            <w:tcBorders>
              <w:top w:val="nil"/>
              <w:left w:val="single" w:sz="4" w:space="0" w:color="auto"/>
              <w:bottom w:val="single" w:sz="4" w:space="0" w:color="auto"/>
              <w:right w:val="single" w:sz="4" w:space="0" w:color="auto"/>
            </w:tcBorders>
            <w:vAlign w:val="center"/>
            <w:hideMark/>
          </w:tcPr>
          <w:p w14:paraId="681A2EB8"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72" w:type="dxa"/>
            <w:vMerge/>
            <w:tcBorders>
              <w:top w:val="nil"/>
              <w:left w:val="single" w:sz="4" w:space="0" w:color="auto"/>
              <w:bottom w:val="single" w:sz="4" w:space="0" w:color="auto"/>
              <w:right w:val="single" w:sz="4" w:space="0" w:color="auto"/>
            </w:tcBorders>
            <w:vAlign w:val="center"/>
            <w:hideMark/>
          </w:tcPr>
          <w:p w14:paraId="4F7F34E4" w14:textId="77777777" w:rsidR="00E17FA7" w:rsidRPr="00E17FA7" w:rsidRDefault="00E17FA7" w:rsidP="00E17FA7">
            <w:pPr>
              <w:rPr>
                <w:rFonts w:ascii="Palatino Linotype" w:eastAsia="Times New Roman" w:hAnsi="Palatino Linotype" w:cs="Times New Roman"/>
                <w:color w:val="000000"/>
                <w:sz w:val="22"/>
                <w:szCs w:val="22"/>
                <w:lang w:val="es-CL"/>
              </w:rPr>
            </w:pPr>
          </w:p>
        </w:tc>
        <w:tc>
          <w:tcPr>
            <w:tcW w:w="2180" w:type="dxa"/>
            <w:vMerge/>
            <w:tcBorders>
              <w:top w:val="nil"/>
              <w:left w:val="single" w:sz="4" w:space="0" w:color="auto"/>
              <w:bottom w:val="single" w:sz="4" w:space="0" w:color="auto"/>
              <w:right w:val="single" w:sz="4" w:space="0" w:color="auto"/>
            </w:tcBorders>
            <w:vAlign w:val="center"/>
            <w:hideMark/>
          </w:tcPr>
          <w:p w14:paraId="5E1CE5D2" w14:textId="77777777" w:rsidR="00E17FA7" w:rsidRPr="00E17FA7" w:rsidRDefault="00E17FA7" w:rsidP="00E17FA7">
            <w:pPr>
              <w:rPr>
                <w:rFonts w:ascii="Palatino Linotype" w:eastAsia="Times New Roman" w:hAnsi="Palatino Linotype" w:cs="Times New Roman"/>
                <w:color w:val="000000"/>
                <w:sz w:val="22"/>
                <w:szCs w:val="22"/>
                <w:lang w:val="es-CL"/>
              </w:rPr>
            </w:pPr>
          </w:p>
        </w:tc>
      </w:tr>
      <w:tr w:rsidR="00E17FA7" w:rsidRPr="00E17FA7" w14:paraId="39732B13" w14:textId="77777777" w:rsidTr="00E17FA7">
        <w:trPr>
          <w:trHeight w:val="307"/>
        </w:trPr>
        <w:tc>
          <w:tcPr>
            <w:tcW w:w="2325" w:type="dxa"/>
            <w:tcBorders>
              <w:top w:val="nil"/>
              <w:left w:val="single" w:sz="4" w:space="0" w:color="auto"/>
              <w:bottom w:val="single" w:sz="4" w:space="0" w:color="auto"/>
              <w:right w:val="single" w:sz="4" w:space="0" w:color="auto"/>
            </w:tcBorders>
            <w:shd w:val="clear" w:color="auto" w:fill="auto"/>
            <w:noWrap/>
            <w:vAlign w:val="bottom"/>
            <w:hideMark/>
          </w:tcPr>
          <w:p w14:paraId="226EC24B"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IX</w:t>
            </w:r>
          </w:p>
        </w:tc>
        <w:tc>
          <w:tcPr>
            <w:tcW w:w="2172" w:type="dxa"/>
            <w:tcBorders>
              <w:top w:val="nil"/>
              <w:left w:val="nil"/>
              <w:bottom w:val="single" w:sz="4" w:space="0" w:color="auto"/>
              <w:right w:val="single" w:sz="4" w:space="0" w:color="auto"/>
            </w:tcBorders>
            <w:shd w:val="clear" w:color="auto" w:fill="auto"/>
            <w:noWrap/>
            <w:vAlign w:val="bottom"/>
            <w:hideMark/>
          </w:tcPr>
          <w:p w14:paraId="0E20773D"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50%</w:t>
            </w:r>
          </w:p>
        </w:tc>
        <w:tc>
          <w:tcPr>
            <w:tcW w:w="2172" w:type="dxa"/>
            <w:tcBorders>
              <w:top w:val="nil"/>
              <w:left w:val="nil"/>
              <w:bottom w:val="single" w:sz="4" w:space="0" w:color="auto"/>
              <w:right w:val="single" w:sz="4" w:space="0" w:color="auto"/>
            </w:tcBorders>
            <w:shd w:val="clear" w:color="auto" w:fill="auto"/>
            <w:noWrap/>
            <w:vAlign w:val="bottom"/>
            <w:hideMark/>
          </w:tcPr>
          <w:p w14:paraId="0E8B1749"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40%</w:t>
            </w:r>
          </w:p>
        </w:tc>
        <w:tc>
          <w:tcPr>
            <w:tcW w:w="2180" w:type="dxa"/>
            <w:tcBorders>
              <w:top w:val="nil"/>
              <w:left w:val="nil"/>
              <w:bottom w:val="single" w:sz="4" w:space="0" w:color="auto"/>
              <w:right w:val="single" w:sz="4" w:space="0" w:color="auto"/>
            </w:tcBorders>
            <w:shd w:val="clear" w:color="auto" w:fill="auto"/>
            <w:noWrap/>
            <w:vAlign w:val="bottom"/>
            <w:hideMark/>
          </w:tcPr>
          <w:p w14:paraId="090900DF" w14:textId="77777777" w:rsidR="00E17FA7" w:rsidRPr="00E17FA7" w:rsidRDefault="00E17FA7" w:rsidP="00E17FA7">
            <w:pPr>
              <w:jc w:val="center"/>
              <w:rPr>
                <w:rFonts w:ascii="Palatino Linotype" w:eastAsia="Times New Roman" w:hAnsi="Palatino Linotype" w:cs="Times New Roman"/>
                <w:color w:val="000000"/>
                <w:sz w:val="22"/>
                <w:szCs w:val="22"/>
                <w:lang w:val="es-CL"/>
              </w:rPr>
            </w:pPr>
            <w:r w:rsidRPr="00E17FA7">
              <w:rPr>
                <w:rFonts w:ascii="Palatino Linotype" w:eastAsia="Times New Roman" w:hAnsi="Palatino Linotype" w:cs="Times New Roman"/>
                <w:color w:val="000000"/>
                <w:sz w:val="22"/>
                <w:szCs w:val="22"/>
                <w:lang w:val="es-CL"/>
              </w:rPr>
              <w:t>30%</w:t>
            </w:r>
          </w:p>
        </w:tc>
      </w:tr>
    </w:tbl>
    <w:p w14:paraId="0D5EDA16" w14:textId="0E58C647" w:rsidR="00416B07" w:rsidRDefault="00E17FA7" w:rsidP="00D72A29">
      <w:pPr>
        <w:jc w:val="both"/>
        <w:rPr>
          <w:rFonts w:ascii="Palatino Linotype" w:hAnsi="Palatino Linotype"/>
          <w:sz w:val="22"/>
          <w:szCs w:val="22"/>
        </w:rPr>
      </w:pPr>
      <w:r w:rsidRPr="00E17FA7">
        <w:rPr>
          <w:rFonts w:ascii="Palatino Linotype" w:hAnsi="Palatino Linotype"/>
          <w:sz w:val="22"/>
          <w:szCs w:val="22"/>
        </w:rPr>
        <w:t>Fuente: Proyecto de ley Nº043.</w:t>
      </w:r>
    </w:p>
    <w:p w14:paraId="6F9E44D7" w14:textId="77777777" w:rsidR="00E17FA7" w:rsidRDefault="00E17FA7" w:rsidP="00D72A29">
      <w:pPr>
        <w:jc w:val="both"/>
        <w:rPr>
          <w:rFonts w:ascii="Palatino Linotype" w:hAnsi="Palatino Linotype"/>
          <w:sz w:val="22"/>
          <w:szCs w:val="22"/>
        </w:rPr>
      </w:pPr>
    </w:p>
    <w:p w14:paraId="25C3E5CA" w14:textId="7C720625" w:rsidR="00E17FA7" w:rsidRDefault="00E17FA7" w:rsidP="00D72A29">
      <w:pPr>
        <w:jc w:val="both"/>
        <w:rPr>
          <w:rFonts w:ascii="Palatino Linotype" w:hAnsi="Palatino Linotype"/>
          <w:szCs w:val="22"/>
        </w:rPr>
      </w:pPr>
      <w:r w:rsidRPr="00E17FA7">
        <w:rPr>
          <w:rFonts w:ascii="Palatino Linotype" w:hAnsi="Palatino Linotype"/>
          <w:szCs w:val="22"/>
        </w:rPr>
        <w:t>El estudiante, si quisiese, podrá actualizar su situación socioeconómica en el Ministerio de Educación acreditando sus nuevos antecedentes.</w:t>
      </w:r>
    </w:p>
    <w:p w14:paraId="367758D4" w14:textId="77777777" w:rsidR="00C4193B" w:rsidRDefault="00C4193B" w:rsidP="00621036"/>
    <w:p w14:paraId="6613E925" w14:textId="0D677779" w:rsidR="003C52D7" w:rsidRDefault="003C52D7" w:rsidP="003C52D7">
      <w:pPr>
        <w:pStyle w:val="Ttulo3"/>
        <w:rPr>
          <w:rFonts w:ascii="Palatino Linotype" w:hAnsi="Palatino Linotype"/>
          <w:color w:val="auto"/>
          <w:sz w:val="26"/>
          <w:szCs w:val="26"/>
          <w:lang w:val="es-ES"/>
        </w:rPr>
      </w:pPr>
      <w:bookmarkStart w:id="17" w:name="_Toc391553447"/>
      <w:r>
        <w:rPr>
          <w:rFonts w:ascii="Palatino Linotype" w:hAnsi="Palatino Linotype"/>
          <w:color w:val="auto"/>
          <w:sz w:val="26"/>
          <w:szCs w:val="26"/>
          <w:lang w:val="es-ES"/>
        </w:rPr>
        <w:t>ii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Mejoras respecto al sistema de créditos actual</w:t>
      </w:r>
      <w:bookmarkEnd w:id="17"/>
    </w:p>
    <w:p w14:paraId="42942E8A" w14:textId="77777777" w:rsidR="00D17A2F" w:rsidRDefault="00D17A2F" w:rsidP="003C52D7">
      <w:pPr>
        <w:rPr>
          <w:rFonts w:ascii="Palatino Linotype" w:hAnsi="Palatino Linotype" w:cs="Times New Roman"/>
        </w:rPr>
      </w:pPr>
    </w:p>
    <w:p w14:paraId="555F21D1" w14:textId="5CDB0504" w:rsidR="003C52D7" w:rsidRDefault="003C52D7" w:rsidP="003C52D7">
      <w:pPr>
        <w:jc w:val="both"/>
        <w:rPr>
          <w:rFonts w:ascii="Palatino Linotype" w:hAnsi="Palatino Linotype" w:cs="Times New Roman"/>
        </w:rPr>
      </w:pPr>
      <w:r>
        <w:rPr>
          <w:rFonts w:ascii="Palatino Linotype" w:hAnsi="Palatino Linotype" w:cs="Times New Roman"/>
        </w:rPr>
        <w:t>Tanto los créditos otorgados por el F</w:t>
      </w:r>
      <w:r w:rsidR="00E13EA5">
        <w:rPr>
          <w:rFonts w:ascii="Palatino Linotype" w:hAnsi="Palatino Linotype" w:cs="Times New Roman"/>
        </w:rPr>
        <w:t>SC</w:t>
      </w:r>
      <w:r>
        <w:rPr>
          <w:rFonts w:ascii="Palatino Linotype" w:hAnsi="Palatino Linotype" w:cs="Times New Roman"/>
        </w:rPr>
        <w:t>U como los créditos CAE f</w:t>
      </w:r>
      <w:r w:rsidR="00547382">
        <w:rPr>
          <w:rFonts w:ascii="Palatino Linotype" w:hAnsi="Palatino Linotype" w:cs="Times New Roman"/>
        </w:rPr>
        <w:t>inancian solo el arancel regulado</w:t>
      </w:r>
      <w:r>
        <w:rPr>
          <w:rFonts w:ascii="Palatino Linotype" w:hAnsi="Palatino Linotype" w:cs="Times New Roman"/>
        </w:rPr>
        <w:t>, el cual, en la mayoría de los casos, es menor al arancel real. En este sentido, el SIFS introduce una mejora al sistema</w:t>
      </w:r>
      <w:r w:rsidR="00547382">
        <w:rPr>
          <w:rFonts w:ascii="Palatino Linotype" w:hAnsi="Palatino Linotype" w:cs="Times New Roman"/>
        </w:rPr>
        <w:t>,</w:t>
      </w:r>
      <w:r>
        <w:rPr>
          <w:rFonts w:ascii="Palatino Linotype" w:hAnsi="Palatino Linotype" w:cs="Times New Roman"/>
        </w:rPr>
        <w:t xml:space="preserve"> pues</w:t>
      </w:r>
      <w:r w:rsidR="00547382">
        <w:rPr>
          <w:rFonts w:ascii="Palatino Linotype" w:hAnsi="Palatino Linotype" w:cs="Times New Roman"/>
        </w:rPr>
        <w:t xml:space="preserve"> se financia hasta el 90% de la brecha entre el arancel regulado y el arancel real, dependiendo de la situación socioeconómica del estudiante y del nivel de acreditación de la universidad.</w:t>
      </w:r>
    </w:p>
    <w:p w14:paraId="6DE49E27" w14:textId="77777777" w:rsidR="008F44ED" w:rsidRDefault="008F44ED" w:rsidP="003C52D7">
      <w:pPr>
        <w:jc w:val="both"/>
        <w:rPr>
          <w:rFonts w:ascii="Palatino Linotype" w:hAnsi="Palatino Linotype" w:cs="Times New Roman"/>
        </w:rPr>
      </w:pPr>
    </w:p>
    <w:p w14:paraId="768E6546" w14:textId="7C5CF5CC" w:rsidR="00547382" w:rsidRDefault="008F44ED" w:rsidP="003C52D7">
      <w:pPr>
        <w:jc w:val="both"/>
        <w:rPr>
          <w:rFonts w:ascii="Palatino Linotype" w:hAnsi="Palatino Linotype" w:cs="Times New Roman"/>
        </w:rPr>
      </w:pPr>
      <w:r>
        <w:rPr>
          <w:rFonts w:ascii="Palatino Linotype" w:hAnsi="Palatino Linotype" w:cs="Times New Roman"/>
        </w:rPr>
        <w:t xml:space="preserve">Asimismo, el Proyecto de Ley establece que las IES deben entregar financiamiento a sus estudiantes por el remanente del arancel real que no alcance a ser cubierto por este nuevo crédito o por otras becas y/o beneficios que se le hayan otorgado al alumno de parte del Estado. Esta obligación solo es exigible respecto de aquellos estudiantes que pertenezcan a los seis deciles de menores ingresos de la población y que obtengan el máximo del crédito al que puedan acceder. </w:t>
      </w:r>
      <w:r w:rsidR="00573F82">
        <w:rPr>
          <w:rFonts w:ascii="Palatino Linotype" w:hAnsi="Palatino Linotype" w:cs="Times New Roman"/>
        </w:rPr>
        <w:t>Las IES que opten por cumplir esta obligación otorgando créditos propios, deberán asegurar que dichos créditos estarán sujetos a los mismos términos y condiciones que el CCI otorgado a través de la Administradora por el Estado en cuanto a tasa de interés, plazo y fecha de devengamiento.</w:t>
      </w:r>
    </w:p>
    <w:p w14:paraId="154E81DB" w14:textId="77777777" w:rsidR="00573F82" w:rsidRDefault="00573F82" w:rsidP="003C52D7">
      <w:pPr>
        <w:jc w:val="both"/>
        <w:rPr>
          <w:rFonts w:ascii="Palatino Linotype" w:hAnsi="Palatino Linotype" w:cs="Times New Roman"/>
        </w:rPr>
      </w:pPr>
    </w:p>
    <w:p w14:paraId="2DE7A5E8" w14:textId="021FAE14" w:rsidR="00573F82" w:rsidRDefault="00573F82" w:rsidP="003C52D7">
      <w:pPr>
        <w:jc w:val="both"/>
        <w:rPr>
          <w:rFonts w:ascii="Palatino Linotype" w:hAnsi="Palatino Linotype" w:cs="Times New Roman"/>
        </w:rPr>
      </w:pPr>
      <w:r>
        <w:rPr>
          <w:rFonts w:ascii="Palatino Linotype" w:hAnsi="Palatino Linotype" w:cs="Times New Roman"/>
        </w:rPr>
        <w:lastRenderedPageBreak/>
        <w:t xml:space="preserve">Será responsabilidad de cada beneficiario del crédito efectuar el pago correspondiente a la Administradora. En el caso de los trabajadores dependientes, el </w:t>
      </w:r>
      <w:r w:rsidR="00234B26">
        <w:rPr>
          <w:rFonts w:ascii="Palatino Linotype" w:hAnsi="Palatino Linotype" w:cs="Times New Roman"/>
        </w:rPr>
        <w:t>empleador retendrá el monto destinado al pago del crédito, y será su responsabilidad realizar el pago ante la Administradora (Artículo 31 del Proyecto de Ley)</w:t>
      </w:r>
      <w:r w:rsidR="00234B26">
        <w:rPr>
          <w:rStyle w:val="Refdenotaalpie"/>
          <w:rFonts w:ascii="Palatino Linotype" w:hAnsi="Palatino Linotype" w:cs="Times New Roman"/>
        </w:rPr>
        <w:footnoteReference w:id="15"/>
      </w:r>
      <w:r w:rsidR="00234B26">
        <w:rPr>
          <w:rFonts w:ascii="Palatino Linotype" w:hAnsi="Palatino Linotype" w:cs="Times New Roman"/>
        </w:rPr>
        <w:t>.</w:t>
      </w:r>
    </w:p>
    <w:p w14:paraId="7FD87403" w14:textId="77777777" w:rsidR="00573F82" w:rsidRDefault="00573F82" w:rsidP="003C52D7">
      <w:pPr>
        <w:jc w:val="both"/>
        <w:rPr>
          <w:rFonts w:ascii="Palatino Linotype" w:hAnsi="Palatino Linotype" w:cs="Times New Roman"/>
        </w:rPr>
      </w:pPr>
    </w:p>
    <w:p w14:paraId="32213CBE" w14:textId="46CEEA1D" w:rsidR="00926E45" w:rsidRDefault="00926E45" w:rsidP="003C52D7">
      <w:pPr>
        <w:jc w:val="both"/>
        <w:rPr>
          <w:rFonts w:ascii="Palatino Linotype" w:hAnsi="Palatino Linotype" w:cs="Times New Roman"/>
        </w:rPr>
      </w:pPr>
      <w:r>
        <w:rPr>
          <w:rFonts w:ascii="Palatino Linotype" w:hAnsi="Palatino Linotype" w:cs="Times New Roman"/>
        </w:rPr>
        <w:t>A continuación, se presenta una tabla que resume las diferencias entre los sistemas de créditos existentes en la actualidad (F</w:t>
      </w:r>
      <w:r w:rsidR="00E13EA5">
        <w:rPr>
          <w:rFonts w:ascii="Palatino Linotype" w:hAnsi="Palatino Linotype" w:cs="Times New Roman"/>
        </w:rPr>
        <w:t>SC</w:t>
      </w:r>
      <w:r>
        <w:rPr>
          <w:rFonts w:ascii="Palatino Linotype" w:hAnsi="Palatino Linotype" w:cs="Times New Roman"/>
        </w:rPr>
        <w:t>U y CAE) junto con la nueva propuesta del gobierno (SIFS).</w:t>
      </w:r>
    </w:p>
    <w:p w14:paraId="456B5795" w14:textId="77777777" w:rsidR="00E13EA5" w:rsidRDefault="00E13EA5" w:rsidP="003C52D7">
      <w:pPr>
        <w:jc w:val="both"/>
        <w:rPr>
          <w:rFonts w:ascii="Palatino Linotype" w:hAnsi="Palatino Linotype" w:cs="Times New Roman"/>
        </w:rPr>
      </w:pPr>
    </w:p>
    <w:p w14:paraId="52D67FE0" w14:textId="72164F08" w:rsidR="00926E45" w:rsidRDefault="00E13EA5" w:rsidP="003C52D7">
      <w:pPr>
        <w:jc w:val="both"/>
        <w:rPr>
          <w:rFonts w:ascii="Palatino Linotype" w:hAnsi="Palatino Linotype" w:cs="Times New Roman"/>
        </w:rPr>
      </w:pPr>
      <w:r>
        <w:rPr>
          <w:rFonts w:ascii="Palatino Linotype" w:hAnsi="Palatino Linotype" w:cs="Times New Roman"/>
        </w:rPr>
        <w:br w:type="page"/>
      </w:r>
    </w:p>
    <w:p w14:paraId="5800056B" w14:textId="1C04A0BC" w:rsidR="00E13EA5" w:rsidRPr="00E13EA5" w:rsidRDefault="00E13EA5" w:rsidP="00E13EA5">
      <w:pPr>
        <w:pStyle w:val="Epgrafe"/>
        <w:keepNext/>
        <w:rPr>
          <w:rFonts w:ascii="Palatino Linotype" w:hAnsi="Palatino Linotype"/>
          <w:color w:val="auto"/>
          <w:sz w:val="22"/>
        </w:rPr>
      </w:pPr>
      <w:bookmarkStart w:id="18" w:name="_Toc391553473"/>
      <w:r w:rsidRPr="00E13EA5">
        <w:rPr>
          <w:rFonts w:ascii="Palatino Linotype" w:hAnsi="Palatino Linotype"/>
          <w:color w:val="auto"/>
          <w:sz w:val="22"/>
        </w:rPr>
        <w:lastRenderedPageBreak/>
        <w:t xml:space="preserve">Tabla </w:t>
      </w:r>
      <w:r w:rsidRPr="00E13EA5">
        <w:rPr>
          <w:rFonts w:ascii="Palatino Linotype" w:hAnsi="Palatino Linotype"/>
          <w:color w:val="auto"/>
          <w:sz w:val="22"/>
        </w:rPr>
        <w:fldChar w:fldCharType="begin"/>
      </w:r>
      <w:r w:rsidRPr="00E13EA5">
        <w:rPr>
          <w:rFonts w:ascii="Palatino Linotype" w:hAnsi="Palatino Linotype"/>
          <w:color w:val="auto"/>
          <w:sz w:val="22"/>
        </w:rPr>
        <w:instrText xml:space="preserve"> SEQ Tabla \* ARABIC </w:instrText>
      </w:r>
      <w:r w:rsidRPr="00E13EA5">
        <w:rPr>
          <w:rFonts w:ascii="Palatino Linotype" w:hAnsi="Palatino Linotype"/>
          <w:color w:val="auto"/>
          <w:sz w:val="22"/>
        </w:rPr>
        <w:fldChar w:fldCharType="separate"/>
      </w:r>
      <w:r w:rsidR="00DC1EC1">
        <w:rPr>
          <w:rFonts w:ascii="Palatino Linotype" w:hAnsi="Palatino Linotype"/>
          <w:noProof/>
          <w:color w:val="auto"/>
          <w:sz w:val="22"/>
        </w:rPr>
        <w:t>7</w:t>
      </w:r>
      <w:r w:rsidRPr="00E13EA5">
        <w:rPr>
          <w:rFonts w:ascii="Palatino Linotype" w:hAnsi="Palatino Linotype"/>
          <w:color w:val="auto"/>
          <w:sz w:val="22"/>
        </w:rPr>
        <w:fldChar w:fldCharType="end"/>
      </w:r>
      <w:r w:rsidRPr="00E13EA5">
        <w:rPr>
          <w:rFonts w:ascii="Palatino Linotype" w:hAnsi="Palatino Linotype"/>
          <w:color w:val="auto"/>
          <w:sz w:val="22"/>
        </w:rPr>
        <w:t>: Comparación de sistemas de créditos actuales con la propuesta del Gobierno.</w:t>
      </w:r>
      <w:bookmarkEnd w:id="18"/>
    </w:p>
    <w:tbl>
      <w:tblPr>
        <w:tblW w:w="9027" w:type="dxa"/>
        <w:tblInd w:w="55" w:type="dxa"/>
        <w:tblCellMar>
          <w:left w:w="70" w:type="dxa"/>
          <w:right w:w="70" w:type="dxa"/>
        </w:tblCellMar>
        <w:tblLook w:val="04A0" w:firstRow="1" w:lastRow="0" w:firstColumn="1" w:lastColumn="0" w:noHBand="0" w:noVBand="1"/>
      </w:tblPr>
      <w:tblGrid>
        <w:gridCol w:w="1779"/>
        <w:gridCol w:w="2403"/>
        <w:gridCol w:w="2442"/>
        <w:gridCol w:w="2403"/>
      </w:tblGrid>
      <w:tr w:rsidR="00ED5983" w:rsidRPr="00E13EA5" w14:paraId="4AE24EF8" w14:textId="77777777" w:rsidTr="00CF1767">
        <w:trPr>
          <w:trHeight w:val="265"/>
        </w:trPr>
        <w:tc>
          <w:tcPr>
            <w:tcW w:w="1779"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72378B14" w14:textId="77777777" w:rsidR="00E13EA5" w:rsidRPr="00CF1767" w:rsidRDefault="00E13EA5" w:rsidP="00E13EA5">
            <w:pPr>
              <w:rPr>
                <w:rFonts w:ascii="Palatino Linotype" w:eastAsia="Times New Roman" w:hAnsi="Palatino Linotype" w:cs="Times New Roman"/>
                <w:b/>
                <w:bCs/>
                <w:color w:val="FFFFFF"/>
                <w:sz w:val="21"/>
                <w:szCs w:val="21"/>
                <w:lang w:val="es-CL"/>
              </w:rPr>
            </w:pPr>
            <w:r w:rsidRPr="00CF1767">
              <w:rPr>
                <w:rFonts w:ascii="Palatino Linotype" w:eastAsia="Times New Roman" w:hAnsi="Palatino Linotype" w:cs="Times New Roman"/>
                <w:b/>
                <w:bCs/>
                <w:color w:val="FFFFFF"/>
                <w:sz w:val="21"/>
                <w:szCs w:val="21"/>
                <w:lang w:val="es-CL"/>
              </w:rPr>
              <w:t>Criterio</w:t>
            </w:r>
          </w:p>
        </w:tc>
        <w:tc>
          <w:tcPr>
            <w:tcW w:w="2403" w:type="dxa"/>
            <w:tcBorders>
              <w:top w:val="single" w:sz="4" w:space="0" w:color="auto"/>
              <w:left w:val="nil"/>
              <w:bottom w:val="single" w:sz="4" w:space="0" w:color="auto"/>
              <w:right w:val="single" w:sz="4" w:space="0" w:color="auto"/>
            </w:tcBorders>
            <w:shd w:val="clear" w:color="000000" w:fill="1F497D"/>
            <w:vAlign w:val="center"/>
            <w:hideMark/>
          </w:tcPr>
          <w:p w14:paraId="57DF6F68" w14:textId="77777777" w:rsidR="00E13EA5" w:rsidRPr="00CF1767" w:rsidRDefault="00E13EA5" w:rsidP="00E13EA5">
            <w:pPr>
              <w:rPr>
                <w:rFonts w:ascii="Palatino Linotype" w:eastAsia="Times New Roman" w:hAnsi="Palatino Linotype" w:cs="Times New Roman"/>
                <w:b/>
                <w:bCs/>
                <w:color w:val="FFFFFF"/>
                <w:sz w:val="21"/>
                <w:szCs w:val="21"/>
                <w:lang w:val="es-CL"/>
              </w:rPr>
            </w:pPr>
            <w:r w:rsidRPr="00CF1767">
              <w:rPr>
                <w:rFonts w:ascii="Palatino Linotype" w:eastAsia="Times New Roman" w:hAnsi="Palatino Linotype" w:cs="Times New Roman"/>
                <w:b/>
                <w:bCs/>
                <w:color w:val="FFFFFF"/>
                <w:sz w:val="21"/>
                <w:szCs w:val="21"/>
                <w:lang w:val="es-CL"/>
              </w:rPr>
              <w:t>CAE</w:t>
            </w:r>
          </w:p>
        </w:tc>
        <w:tc>
          <w:tcPr>
            <w:tcW w:w="2442" w:type="dxa"/>
            <w:tcBorders>
              <w:top w:val="single" w:sz="4" w:space="0" w:color="auto"/>
              <w:left w:val="nil"/>
              <w:bottom w:val="single" w:sz="4" w:space="0" w:color="auto"/>
              <w:right w:val="single" w:sz="4" w:space="0" w:color="auto"/>
            </w:tcBorders>
            <w:shd w:val="clear" w:color="000000" w:fill="1F497D"/>
            <w:vAlign w:val="center"/>
            <w:hideMark/>
          </w:tcPr>
          <w:p w14:paraId="31C1CD69" w14:textId="77777777" w:rsidR="00E13EA5" w:rsidRPr="00CF1767" w:rsidRDefault="00E13EA5" w:rsidP="00E13EA5">
            <w:pPr>
              <w:rPr>
                <w:rFonts w:ascii="Palatino Linotype" w:eastAsia="Times New Roman" w:hAnsi="Palatino Linotype" w:cs="Times New Roman"/>
                <w:b/>
                <w:bCs/>
                <w:color w:val="FFFFFF"/>
                <w:sz w:val="21"/>
                <w:szCs w:val="21"/>
                <w:lang w:val="es-CL"/>
              </w:rPr>
            </w:pPr>
            <w:r w:rsidRPr="00CF1767">
              <w:rPr>
                <w:rFonts w:ascii="Palatino Linotype" w:eastAsia="Times New Roman" w:hAnsi="Palatino Linotype" w:cs="Times New Roman"/>
                <w:b/>
                <w:bCs/>
                <w:color w:val="FFFFFF"/>
                <w:sz w:val="21"/>
                <w:szCs w:val="21"/>
                <w:lang w:val="es-CL"/>
              </w:rPr>
              <w:t>FSCU</w:t>
            </w:r>
          </w:p>
        </w:tc>
        <w:tc>
          <w:tcPr>
            <w:tcW w:w="2403" w:type="dxa"/>
            <w:tcBorders>
              <w:top w:val="single" w:sz="4" w:space="0" w:color="auto"/>
              <w:left w:val="nil"/>
              <w:bottom w:val="single" w:sz="4" w:space="0" w:color="auto"/>
              <w:right w:val="single" w:sz="4" w:space="0" w:color="auto"/>
            </w:tcBorders>
            <w:shd w:val="clear" w:color="000000" w:fill="1F497D"/>
            <w:vAlign w:val="center"/>
            <w:hideMark/>
          </w:tcPr>
          <w:p w14:paraId="72F20CCF" w14:textId="77777777" w:rsidR="00E13EA5" w:rsidRPr="00CF1767" w:rsidRDefault="00E13EA5" w:rsidP="00E13EA5">
            <w:pPr>
              <w:rPr>
                <w:rFonts w:ascii="Palatino Linotype" w:eastAsia="Times New Roman" w:hAnsi="Palatino Linotype" w:cs="Times New Roman"/>
                <w:b/>
                <w:bCs/>
                <w:color w:val="FFFFFF"/>
                <w:sz w:val="21"/>
                <w:szCs w:val="21"/>
                <w:lang w:val="es-CL"/>
              </w:rPr>
            </w:pPr>
            <w:r w:rsidRPr="00CF1767">
              <w:rPr>
                <w:rFonts w:ascii="Palatino Linotype" w:eastAsia="Times New Roman" w:hAnsi="Palatino Linotype" w:cs="Times New Roman"/>
                <w:b/>
                <w:bCs/>
                <w:color w:val="FFFFFF"/>
                <w:sz w:val="21"/>
                <w:szCs w:val="21"/>
                <w:lang w:val="es-CL"/>
              </w:rPr>
              <w:t>SIFS</w:t>
            </w:r>
          </w:p>
        </w:tc>
      </w:tr>
      <w:tr w:rsidR="00ED5983" w:rsidRPr="00E13EA5" w14:paraId="3FD9319E" w14:textId="77777777" w:rsidTr="00CF1767">
        <w:trPr>
          <w:trHeight w:val="1069"/>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66FC5DFA"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¿Para quién?</w:t>
            </w:r>
          </w:p>
        </w:tc>
        <w:tc>
          <w:tcPr>
            <w:tcW w:w="2403" w:type="dxa"/>
            <w:tcBorders>
              <w:top w:val="nil"/>
              <w:left w:val="nil"/>
              <w:bottom w:val="single" w:sz="4" w:space="0" w:color="auto"/>
              <w:right w:val="single" w:sz="4" w:space="0" w:color="auto"/>
            </w:tcBorders>
            <w:shd w:val="clear" w:color="auto" w:fill="auto"/>
            <w:vAlign w:val="center"/>
            <w:hideMark/>
          </w:tcPr>
          <w:p w14:paraId="7AAE3082"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Todos los alumnos de IES acreditadas.</w:t>
            </w:r>
          </w:p>
        </w:tc>
        <w:tc>
          <w:tcPr>
            <w:tcW w:w="2442" w:type="dxa"/>
            <w:tcBorders>
              <w:top w:val="nil"/>
              <w:left w:val="nil"/>
              <w:bottom w:val="single" w:sz="4" w:space="0" w:color="auto"/>
              <w:right w:val="single" w:sz="4" w:space="0" w:color="auto"/>
            </w:tcBorders>
            <w:shd w:val="clear" w:color="auto" w:fill="auto"/>
            <w:vAlign w:val="center"/>
            <w:hideMark/>
          </w:tcPr>
          <w:p w14:paraId="0787F2A0"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El 80% más vulnerable que estudies en universidades del Cruch y acreditadas.</w:t>
            </w:r>
          </w:p>
        </w:tc>
        <w:tc>
          <w:tcPr>
            <w:tcW w:w="2403" w:type="dxa"/>
            <w:tcBorders>
              <w:top w:val="nil"/>
              <w:left w:val="nil"/>
              <w:bottom w:val="single" w:sz="4" w:space="0" w:color="auto"/>
              <w:right w:val="single" w:sz="4" w:space="0" w:color="auto"/>
            </w:tcBorders>
            <w:shd w:val="clear" w:color="auto" w:fill="auto"/>
            <w:vAlign w:val="center"/>
            <w:hideMark/>
          </w:tcPr>
          <w:p w14:paraId="0573A04C"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El 90% más vulnerable de IES acreditadas</w:t>
            </w:r>
          </w:p>
        </w:tc>
      </w:tr>
      <w:tr w:rsidR="00ED5983" w:rsidRPr="00E13EA5" w14:paraId="5FB30833" w14:textId="77777777" w:rsidTr="00CF1767">
        <w:trPr>
          <w:trHeight w:val="801"/>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0A51421C"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¿Quién lo otorga?</w:t>
            </w:r>
          </w:p>
        </w:tc>
        <w:tc>
          <w:tcPr>
            <w:tcW w:w="2403" w:type="dxa"/>
            <w:tcBorders>
              <w:top w:val="nil"/>
              <w:left w:val="nil"/>
              <w:bottom w:val="single" w:sz="4" w:space="0" w:color="auto"/>
              <w:right w:val="single" w:sz="4" w:space="0" w:color="auto"/>
            </w:tcBorders>
            <w:shd w:val="clear" w:color="auto" w:fill="auto"/>
            <w:vAlign w:val="center"/>
            <w:hideMark/>
          </w:tcPr>
          <w:p w14:paraId="6A61D920"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Instituciones financieras, con aval del Estado y de las IES</w:t>
            </w:r>
          </w:p>
        </w:tc>
        <w:tc>
          <w:tcPr>
            <w:tcW w:w="2442" w:type="dxa"/>
            <w:tcBorders>
              <w:top w:val="nil"/>
              <w:left w:val="nil"/>
              <w:bottom w:val="single" w:sz="4" w:space="0" w:color="auto"/>
              <w:right w:val="single" w:sz="4" w:space="0" w:color="auto"/>
            </w:tcBorders>
            <w:shd w:val="clear" w:color="auto" w:fill="auto"/>
            <w:vAlign w:val="center"/>
            <w:hideMark/>
          </w:tcPr>
          <w:p w14:paraId="46D3A03A"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Las universidades del Cruch</w:t>
            </w:r>
          </w:p>
        </w:tc>
        <w:tc>
          <w:tcPr>
            <w:tcW w:w="2403" w:type="dxa"/>
            <w:tcBorders>
              <w:top w:val="nil"/>
              <w:left w:val="nil"/>
              <w:bottom w:val="single" w:sz="4" w:space="0" w:color="auto"/>
              <w:right w:val="single" w:sz="4" w:space="0" w:color="auto"/>
            </w:tcBorders>
            <w:shd w:val="clear" w:color="auto" w:fill="auto"/>
            <w:vAlign w:val="center"/>
            <w:hideMark/>
          </w:tcPr>
          <w:p w14:paraId="3FB6B7B9"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El Estado</w:t>
            </w:r>
          </w:p>
        </w:tc>
      </w:tr>
      <w:tr w:rsidR="00ED5983" w:rsidRPr="00E13EA5" w14:paraId="6BB6CD4D" w14:textId="77777777" w:rsidTr="00CF1767">
        <w:trPr>
          <w:trHeight w:val="1866"/>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724E7E1E"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¿Qué financia?</w:t>
            </w:r>
          </w:p>
        </w:tc>
        <w:tc>
          <w:tcPr>
            <w:tcW w:w="2403" w:type="dxa"/>
            <w:tcBorders>
              <w:top w:val="nil"/>
              <w:left w:val="nil"/>
              <w:bottom w:val="single" w:sz="4" w:space="0" w:color="auto"/>
              <w:right w:val="single" w:sz="4" w:space="0" w:color="auto"/>
            </w:tcBorders>
            <w:shd w:val="clear" w:color="auto" w:fill="auto"/>
            <w:vAlign w:val="center"/>
            <w:hideMark/>
          </w:tcPr>
          <w:p w14:paraId="48492CD3"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Arancel de referencia</w:t>
            </w:r>
          </w:p>
        </w:tc>
        <w:tc>
          <w:tcPr>
            <w:tcW w:w="2442" w:type="dxa"/>
            <w:tcBorders>
              <w:top w:val="nil"/>
              <w:left w:val="nil"/>
              <w:bottom w:val="single" w:sz="4" w:space="0" w:color="auto"/>
              <w:right w:val="single" w:sz="4" w:space="0" w:color="auto"/>
            </w:tcBorders>
            <w:shd w:val="clear" w:color="auto" w:fill="auto"/>
            <w:vAlign w:val="center"/>
            <w:hideMark/>
          </w:tcPr>
          <w:p w14:paraId="3A497218"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Para el 60% de la población más vulnerable: 100% del arancel de referencia. Para el resto: del 50% al 100% del arancel de referencia.</w:t>
            </w:r>
          </w:p>
        </w:tc>
        <w:tc>
          <w:tcPr>
            <w:tcW w:w="2403" w:type="dxa"/>
            <w:tcBorders>
              <w:top w:val="nil"/>
              <w:left w:val="nil"/>
              <w:bottom w:val="single" w:sz="4" w:space="0" w:color="auto"/>
              <w:right w:val="single" w:sz="4" w:space="0" w:color="auto"/>
            </w:tcBorders>
            <w:shd w:val="clear" w:color="auto" w:fill="auto"/>
            <w:vAlign w:val="center"/>
            <w:hideMark/>
          </w:tcPr>
          <w:p w14:paraId="2EAADB96"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Arancel regulado y hasta un 50% más, según institución y vulnerabilidad del estudiante.</w:t>
            </w:r>
          </w:p>
        </w:tc>
      </w:tr>
      <w:tr w:rsidR="00ED5983" w:rsidRPr="00E13EA5" w14:paraId="57F40034" w14:textId="77777777" w:rsidTr="00CF1767">
        <w:trPr>
          <w:trHeight w:val="265"/>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5EEEEB92"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Tasa de interés</w:t>
            </w:r>
          </w:p>
        </w:tc>
        <w:tc>
          <w:tcPr>
            <w:tcW w:w="2403" w:type="dxa"/>
            <w:tcBorders>
              <w:top w:val="nil"/>
              <w:left w:val="nil"/>
              <w:bottom w:val="single" w:sz="4" w:space="0" w:color="auto"/>
              <w:right w:val="single" w:sz="4" w:space="0" w:color="auto"/>
            </w:tcBorders>
            <w:shd w:val="clear" w:color="auto" w:fill="auto"/>
            <w:vAlign w:val="center"/>
            <w:hideMark/>
          </w:tcPr>
          <w:p w14:paraId="0ED02FC3"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UF + 2% anual.</w:t>
            </w:r>
          </w:p>
        </w:tc>
        <w:tc>
          <w:tcPr>
            <w:tcW w:w="2442" w:type="dxa"/>
            <w:tcBorders>
              <w:top w:val="nil"/>
              <w:left w:val="nil"/>
              <w:bottom w:val="single" w:sz="4" w:space="0" w:color="auto"/>
              <w:right w:val="single" w:sz="4" w:space="0" w:color="auto"/>
            </w:tcBorders>
            <w:shd w:val="clear" w:color="auto" w:fill="auto"/>
            <w:vAlign w:val="center"/>
            <w:hideMark/>
          </w:tcPr>
          <w:p w14:paraId="63C4F8A5"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UTM + 2% anual.</w:t>
            </w:r>
          </w:p>
        </w:tc>
        <w:tc>
          <w:tcPr>
            <w:tcW w:w="2403" w:type="dxa"/>
            <w:tcBorders>
              <w:top w:val="nil"/>
              <w:left w:val="nil"/>
              <w:bottom w:val="single" w:sz="4" w:space="0" w:color="auto"/>
              <w:right w:val="single" w:sz="4" w:space="0" w:color="auto"/>
            </w:tcBorders>
            <w:shd w:val="clear" w:color="auto" w:fill="auto"/>
            <w:vAlign w:val="center"/>
            <w:hideMark/>
          </w:tcPr>
          <w:p w14:paraId="1683C39C"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UTM + 2% anual.</w:t>
            </w:r>
          </w:p>
        </w:tc>
      </w:tr>
      <w:tr w:rsidR="00ED5983" w:rsidRPr="00E13EA5" w14:paraId="5CEFFFE5" w14:textId="77777777" w:rsidTr="00CF1767">
        <w:trPr>
          <w:trHeight w:val="2669"/>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46B89E23"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Pagos</w:t>
            </w:r>
          </w:p>
        </w:tc>
        <w:tc>
          <w:tcPr>
            <w:tcW w:w="2403" w:type="dxa"/>
            <w:tcBorders>
              <w:top w:val="nil"/>
              <w:left w:val="nil"/>
              <w:bottom w:val="single" w:sz="4" w:space="0" w:color="auto"/>
              <w:right w:val="single" w:sz="4" w:space="0" w:color="auto"/>
            </w:tcBorders>
            <w:shd w:val="clear" w:color="auto" w:fill="auto"/>
            <w:vAlign w:val="center"/>
            <w:hideMark/>
          </w:tcPr>
          <w:p w14:paraId="339776FD"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Hasta 20 años, según la deuda. Se puede solicitar rebajas en las cuotas para llegar al 10% del ingreso.</w:t>
            </w:r>
          </w:p>
        </w:tc>
        <w:tc>
          <w:tcPr>
            <w:tcW w:w="2442" w:type="dxa"/>
            <w:tcBorders>
              <w:top w:val="nil"/>
              <w:left w:val="nil"/>
              <w:bottom w:val="single" w:sz="4" w:space="0" w:color="auto"/>
              <w:right w:val="single" w:sz="4" w:space="0" w:color="auto"/>
            </w:tcBorders>
            <w:shd w:val="clear" w:color="auto" w:fill="auto"/>
            <w:vAlign w:val="center"/>
            <w:hideMark/>
          </w:tcPr>
          <w:p w14:paraId="54BC8C52"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Plazo máximo de 12 años, o de 15 años si la deuda es mayor a 200 UTM. Las cuotas son 5% de los ingresos.</w:t>
            </w:r>
          </w:p>
        </w:tc>
        <w:tc>
          <w:tcPr>
            <w:tcW w:w="2403" w:type="dxa"/>
            <w:tcBorders>
              <w:top w:val="nil"/>
              <w:left w:val="nil"/>
              <w:bottom w:val="single" w:sz="4" w:space="0" w:color="auto"/>
              <w:right w:val="single" w:sz="4" w:space="0" w:color="auto"/>
            </w:tcBorders>
            <w:shd w:val="clear" w:color="auto" w:fill="auto"/>
            <w:vAlign w:val="center"/>
            <w:hideMark/>
          </w:tcPr>
          <w:p w14:paraId="605FF968"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Hasta 15 años, con un tope de 10% de los ingresos. Si el beneficiario deja de pagar sus cuotas sin justificación, al vencimiento del período se reprograma la deuda en un plazo máximo de 60 cuotas.</w:t>
            </w:r>
          </w:p>
        </w:tc>
      </w:tr>
      <w:tr w:rsidR="00ED5983" w:rsidRPr="00E13EA5" w14:paraId="3616EC0A" w14:textId="77777777" w:rsidTr="00CF1767">
        <w:trPr>
          <w:trHeight w:val="1069"/>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7E38CA5B"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¿Quiénes no pagan?</w:t>
            </w:r>
          </w:p>
        </w:tc>
        <w:tc>
          <w:tcPr>
            <w:tcW w:w="2403" w:type="dxa"/>
            <w:tcBorders>
              <w:top w:val="nil"/>
              <w:left w:val="nil"/>
              <w:bottom w:val="single" w:sz="4" w:space="0" w:color="auto"/>
              <w:right w:val="single" w:sz="4" w:space="0" w:color="auto"/>
            </w:tcBorders>
            <w:shd w:val="clear" w:color="auto" w:fill="auto"/>
            <w:vAlign w:val="center"/>
            <w:hideMark/>
          </w:tcPr>
          <w:p w14:paraId="63B800EA"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Egresados sin trabajo o que estudian postgrados en el extranjero.</w:t>
            </w:r>
          </w:p>
        </w:tc>
        <w:tc>
          <w:tcPr>
            <w:tcW w:w="2442" w:type="dxa"/>
            <w:tcBorders>
              <w:top w:val="nil"/>
              <w:left w:val="nil"/>
              <w:bottom w:val="single" w:sz="4" w:space="0" w:color="auto"/>
              <w:right w:val="single" w:sz="4" w:space="0" w:color="auto"/>
            </w:tcBorders>
            <w:shd w:val="clear" w:color="auto" w:fill="auto"/>
            <w:vAlign w:val="center"/>
            <w:hideMark/>
          </w:tcPr>
          <w:p w14:paraId="2507F497"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Egresados sin trabajo o que estudian posgrados.</w:t>
            </w:r>
          </w:p>
        </w:tc>
        <w:tc>
          <w:tcPr>
            <w:tcW w:w="2403" w:type="dxa"/>
            <w:tcBorders>
              <w:top w:val="nil"/>
              <w:left w:val="nil"/>
              <w:bottom w:val="single" w:sz="4" w:space="0" w:color="auto"/>
              <w:right w:val="single" w:sz="4" w:space="0" w:color="auto"/>
            </w:tcBorders>
            <w:shd w:val="clear" w:color="auto" w:fill="auto"/>
            <w:vAlign w:val="center"/>
            <w:hideMark/>
          </w:tcPr>
          <w:p w14:paraId="3D3F07B1"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Egresados sin trabajo o con ingresos inferiores al sueldo mínimo.</w:t>
            </w:r>
          </w:p>
        </w:tc>
      </w:tr>
      <w:tr w:rsidR="00ED5983" w:rsidRPr="00ED5983" w14:paraId="2085384A" w14:textId="77777777" w:rsidTr="00CF1767">
        <w:trPr>
          <w:trHeight w:val="1866"/>
        </w:trPr>
        <w:tc>
          <w:tcPr>
            <w:tcW w:w="1779" w:type="dxa"/>
            <w:tcBorders>
              <w:top w:val="nil"/>
              <w:left w:val="single" w:sz="4" w:space="0" w:color="auto"/>
              <w:bottom w:val="single" w:sz="4" w:space="0" w:color="auto"/>
              <w:right w:val="single" w:sz="4" w:space="0" w:color="auto"/>
            </w:tcBorders>
            <w:shd w:val="clear" w:color="auto" w:fill="auto"/>
            <w:vAlign w:val="center"/>
            <w:hideMark/>
          </w:tcPr>
          <w:p w14:paraId="286A1433"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Requisitos académicos</w:t>
            </w:r>
          </w:p>
        </w:tc>
        <w:tc>
          <w:tcPr>
            <w:tcW w:w="2403" w:type="dxa"/>
            <w:tcBorders>
              <w:top w:val="nil"/>
              <w:left w:val="nil"/>
              <w:bottom w:val="single" w:sz="4" w:space="0" w:color="auto"/>
              <w:right w:val="single" w:sz="4" w:space="0" w:color="auto"/>
            </w:tcBorders>
            <w:shd w:val="clear" w:color="auto" w:fill="auto"/>
            <w:vAlign w:val="center"/>
            <w:hideMark/>
          </w:tcPr>
          <w:p w14:paraId="0895B6D5"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Universidades: Puntaje promedio PSU mínimo de 475 puntos. Para CFTs: NEM superior a 5,3 o puntaje promedio PSU mínimo de 475 puntos.</w:t>
            </w:r>
          </w:p>
        </w:tc>
        <w:tc>
          <w:tcPr>
            <w:tcW w:w="2442" w:type="dxa"/>
            <w:tcBorders>
              <w:top w:val="nil"/>
              <w:left w:val="nil"/>
              <w:bottom w:val="single" w:sz="4" w:space="0" w:color="auto"/>
              <w:right w:val="single" w:sz="4" w:space="0" w:color="auto"/>
            </w:tcBorders>
            <w:shd w:val="clear" w:color="auto" w:fill="auto"/>
            <w:vAlign w:val="center"/>
            <w:hideMark/>
          </w:tcPr>
          <w:p w14:paraId="7293B5BC"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Puntaje promedio PSU mínimo de 475 puntos.</w:t>
            </w:r>
          </w:p>
        </w:tc>
        <w:tc>
          <w:tcPr>
            <w:tcW w:w="2403" w:type="dxa"/>
            <w:tcBorders>
              <w:top w:val="nil"/>
              <w:left w:val="nil"/>
              <w:bottom w:val="single" w:sz="4" w:space="0" w:color="auto"/>
              <w:right w:val="single" w:sz="4" w:space="0" w:color="auto"/>
            </w:tcBorders>
            <w:shd w:val="clear" w:color="auto" w:fill="auto"/>
            <w:vAlign w:val="center"/>
            <w:hideMark/>
          </w:tcPr>
          <w:p w14:paraId="27AFDB85" w14:textId="77777777" w:rsidR="00E13EA5" w:rsidRPr="00CF1767" w:rsidRDefault="00E13EA5" w:rsidP="00E13EA5">
            <w:pPr>
              <w:rPr>
                <w:rFonts w:ascii="Palatino Linotype" w:eastAsia="Times New Roman" w:hAnsi="Palatino Linotype" w:cs="Times New Roman"/>
                <w:color w:val="000000"/>
                <w:sz w:val="21"/>
                <w:szCs w:val="21"/>
                <w:lang w:val="es-CL"/>
              </w:rPr>
            </w:pPr>
            <w:r w:rsidRPr="00CF1767">
              <w:rPr>
                <w:rFonts w:ascii="Palatino Linotype" w:eastAsia="Times New Roman" w:hAnsi="Palatino Linotype" w:cs="Times New Roman"/>
                <w:color w:val="000000"/>
                <w:sz w:val="21"/>
                <w:szCs w:val="21"/>
                <w:lang w:val="es-CL"/>
              </w:rPr>
              <w:t>Universidades: Puntaje promedio PSU mínimo de 475 puntos. CFTs: NEM superior a 5,3, o pertenecer al 50% superior de su generación).</w:t>
            </w:r>
          </w:p>
        </w:tc>
      </w:tr>
    </w:tbl>
    <w:p w14:paraId="174011A7" w14:textId="4EC741E8" w:rsidR="00CF1767" w:rsidRPr="00CF1767" w:rsidRDefault="00CF1767" w:rsidP="00CF1767">
      <w:pPr>
        <w:rPr>
          <w:rFonts w:ascii="Palatino Linotype" w:hAnsi="Palatino Linotype"/>
        </w:rPr>
      </w:pPr>
      <w:r w:rsidRPr="00CF1767">
        <w:rPr>
          <w:rFonts w:ascii="Palatino Linotype" w:hAnsi="Palatino Linotype"/>
          <w:sz w:val="20"/>
        </w:rPr>
        <w:t>Fuente: Segpres</w:t>
      </w:r>
      <w:r w:rsidRPr="00CF1767">
        <w:rPr>
          <w:rFonts w:ascii="Palatino Linotype" w:hAnsi="Palatino Linotype"/>
        </w:rPr>
        <w:br w:type="page"/>
      </w:r>
    </w:p>
    <w:p w14:paraId="67320C34" w14:textId="4ED9DEAA" w:rsidR="00E823C4" w:rsidRPr="009E41D3" w:rsidRDefault="00E823C4" w:rsidP="009E41D3">
      <w:pPr>
        <w:pStyle w:val="Ttulo1"/>
        <w:rPr>
          <w:rFonts w:ascii="Palatino Linotype" w:hAnsi="Palatino Linotype"/>
          <w:b w:val="0"/>
          <w:color w:val="auto"/>
        </w:rPr>
      </w:pPr>
      <w:bookmarkStart w:id="19" w:name="_Toc391553448"/>
      <w:r w:rsidRPr="00382107">
        <w:rPr>
          <w:rFonts w:ascii="Palatino Linotype" w:hAnsi="Palatino Linotype"/>
          <w:b w:val="0"/>
          <w:color w:val="auto"/>
        </w:rPr>
        <w:lastRenderedPageBreak/>
        <w:t>Sección I</w:t>
      </w:r>
      <w:r>
        <w:rPr>
          <w:rFonts w:ascii="Palatino Linotype" w:hAnsi="Palatino Linotype"/>
          <w:b w:val="0"/>
          <w:color w:val="auto"/>
        </w:rPr>
        <w:t>I</w:t>
      </w:r>
      <w:r w:rsidRPr="00382107">
        <w:rPr>
          <w:rFonts w:ascii="Palatino Linotype" w:hAnsi="Palatino Linotype"/>
          <w:b w:val="0"/>
          <w:color w:val="auto"/>
        </w:rPr>
        <w:t xml:space="preserve">: </w:t>
      </w:r>
      <w:r w:rsidR="00890E76">
        <w:rPr>
          <w:rFonts w:ascii="Palatino Linotype" w:hAnsi="Palatino Linotype"/>
          <w:b w:val="0"/>
          <w:color w:val="auto"/>
        </w:rPr>
        <w:t>Argumentación económica y evidencia empírica</w:t>
      </w:r>
      <w:bookmarkEnd w:id="19"/>
    </w:p>
    <w:p w14:paraId="4628F719" w14:textId="7673FE96" w:rsidR="00890E76" w:rsidRDefault="00890E76" w:rsidP="004E59EE">
      <w:pPr>
        <w:pStyle w:val="Ttulo2"/>
        <w:rPr>
          <w:rFonts w:ascii="Palatino Linotype" w:hAnsi="Palatino Linotype"/>
          <w:b w:val="0"/>
          <w:color w:val="auto"/>
          <w:sz w:val="28"/>
        </w:rPr>
      </w:pPr>
      <w:bookmarkStart w:id="20" w:name="_Toc391553449"/>
      <w:r>
        <w:rPr>
          <w:rFonts w:ascii="Palatino Linotype" w:hAnsi="Palatino Linotype"/>
          <w:b w:val="0"/>
          <w:color w:val="auto"/>
          <w:sz w:val="28"/>
        </w:rPr>
        <w:t>A</w:t>
      </w:r>
      <w:r w:rsidRPr="00175DC1">
        <w:rPr>
          <w:rFonts w:ascii="Palatino Linotype" w:hAnsi="Palatino Linotype"/>
          <w:b w:val="0"/>
          <w:color w:val="auto"/>
          <w:sz w:val="28"/>
        </w:rPr>
        <w:t xml:space="preserve">) </w:t>
      </w:r>
      <w:r>
        <w:rPr>
          <w:rFonts w:ascii="Palatino Linotype" w:hAnsi="Palatino Linotype"/>
          <w:b w:val="0"/>
          <w:color w:val="auto"/>
          <w:sz w:val="28"/>
        </w:rPr>
        <w:t xml:space="preserve">Argumentación económica de los </w:t>
      </w:r>
      <w:r w:rsidR="004E59EE">
        <w:rPr>
          <w:rFonts w:ascii="Palatino Linotype" w:hAnsi="Palatino Linotype"/>
          <w:b w:val="0"/>
          <w:color w:val="auto"/>
          <w:sz w:val="28"/>
        </w:rPr>
        <w:t>créditos contingentes al ingreso</w:t>
      </w:r>
      <w:bookmarkEnd w:id="20"/>
    </w:p>
    <w:p w14:paraId="5AFABAA0" w14:textId="77777777" w:rsidR="004E59EE" w:rsidRPr="004E59EE" w:rsidRDefault="004E59EE" w:rsidP="004E59EE"/>
    <w:p w14:paraId="2C9C5C2A" w14:textId="3F9A5A5D" w:rsidR="00890E76" w:rsidRDefault="002E250B" w:rsidP="004E59EE">
      <w:pPr>
        <w:jc w:val="both"/>
        <w:rPr>
          <w:rFonts w:ascii="Palatino Linotype" w:hAnsi="Palatino Linotype"/>
        </w:rPr>
      </w:pPr>
      <w:r>
        <w:rPr>
          <w:rFonts w:ascii="Palatino Linotype" w:hAnsi="Palatino Linotype"/>
        </w:rPr>
        <w:t xml:space="preserve">A continuación se presentan, de forma resumida, </w:t>
      </w:r>
      <w:r w:rsidR="004E59EE">
        <w:rPr>
          <w:rFonts w:ascii="Palatino Linotype" w:hAnsi="Palatino Linotype"/>
        </w:rPr>
        <w:t>cuatro proposiciones</w:t>
      </w:r>
      <w:r>
        <w:rPr>
          <w:rFonts w:ascii="Palatino Linotype" w:hAnsi="Palatino Linotype"/>
        </w:rPr>
        <w:t xml:space="preserve"> provenientes de la teoría económica respecto al financiamiento en la educación superior, siguiendo a Barr (2004</w:t>
      </w:r>
      <w:r>
        <w:rPr>
          <w:rStyle w:val="Refdenotaalpie"/>
          <w:rFonts w:ascii="Palatino Linotype" w:hAnsi="Palatino Linotype"/>
        </w:rPr>
        <w:footnoteReference w:id="16"/>
      </w:r>
      <w:r>
        <w:rPr>
          <w:rFonts w:ascii="Palatino Linotype" w:hAnsi="Palatino Linotype"/>
        </w:rPr>
        <w:t>; 2012</w:t>
      </w:r>
      <w:r>
        <w:rPr>
          <w:rStyle w:val="Refdenotaalpie"/>
          <w:rFonts w:ascii="Palatino Linotype" w:hAnsi="Palatino Linotype"/>
        </w:rPr>
        <w:footnoteReference w:id="17"/>
      </w:r>
      <w:r>
        <w:rPr>
          <w:rFonts w:ascii="Palatino Linotype" w:hAnsi="Palatino Linotype"/>
        </w:rPr>
        <w:t>).</w:t>
      </w:r>
    </w:p>
    <w:p w14:paraId="7F1F79FB" w14:textId="77777777" w:rsidR="002E250B" w:rsidRDefault="002E250B" w:rsidP="00890E76">
      <w:pPr>
        <w:rPr>
          <w:rFonts w:ascii="Palatino Linotype" w:hAnsi="Palatino Linotype"/>
        </w:rPr>
      </w:pPr>
    </w:p>
    <w:p w14:paraId="1AC5A22B" w14:textId="4742D2C0" w:rsidR="002E250B" w:rsidRDefault="002E250B" w:rsidP="002E250B">
      <w:pPr>
        <w:pStyle w:val="Ttulo3"/>
        <w:rPr>
          <w:rFonts w:ascii="Palatino Linotype" w:hAnsi="Palatino Linotype"/>
          <w:color w:val="auto"/>
          <w:sz w:val="26"/>
          <w:szCs w:val="26"/>
          <w:lang w:val="es-ES"/>
        </w:rPr>
      </w:pPr>
      <w:bookmarkStart w:id="21" w:name="_Toc391553450"/>
      <w:r>
        <w:rPr>
          <w:rFonts w:ascii="Palatino Linotype" w:hAnsi="Palatino Linotype"/>
          <w:color w:val="auto"/>
          <w:sz w:val="26"/>
          <w:szCs w:val="26"/>
          <w:lang w:val="es-ES"/>
        </w:rPr>
        <w:t>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sidR="004E59EE">
        <w:rPr>
          <w:rFonts w:ascii="Palatino Linotype" w:hAnsi="Palatino Linotype"/>
          <w:color w:val="auto"/>
          <w:sz w:val="26"/>
          <w:szCs w:val="26"/>
          <w:lang w:val="es-ES"/>
        </w:rPr>
        <w:t xml:space="preserve">Proposición 1: </w:t>
      </w:r>
      <w:r>
        <w:rPr>
          <w:rFonts w:ascii="Palatino Linotype" w:hAnsi="Palatino Linotype"/>
          <w:color w:val="auto"/>
          <w:sz w:val="26"/>
          <w:szCs w:val="26"/>
          <w:lang w:val="es-ES"/>
        </w:rPr>
        <w:t>¿Quién debería pagar?</w:t>
      </w:r>
      <w:bookmarkEnd w:id="21"/>
    </w:p>
    <w:p w14:paraId="61DD2D24" w14:textId="77777777" w:rsidR="00890E76" w:rsidRPr="002E250B" w:rsidRDefault="00890E76" w:rsidP="002E250B">
      <w:pPr>
        <w:rPr>
          <w:rFonts w:ascii="Palatino Linotype" w:hAnsi="Palatino Linotype"/>
        </w:rPr>
      </w:pPr>
    </w:p>
    <w:p w14:paraId="7D19B583" w14:textId="4A160B22" w:rsidR="00890E76" w:rsidRDefault="002E250B" w:rsidP="006B5F55">
      <w:pPr>
        <w:jc w:val="both"/>
        <w:rPr>
          <w:rFonts w:ascii="Palatino Linotype" w:hAnsi="Palatino Linotype"/>
        </w:rPr>
      </w:pPr>
      <w:r>
        <w:rPr>
          <w:rFonts w:ascii="Palatino Linotype" w:hAnsi="Palatino Linotype"/>
        </w:rPr>
        <w:t>La educación superior genera beneficios sociales que los individuos no internalizan en sus decisiones privadas – beneficios en términos de la transmisión de valores y una cultura compartida, el desarrollo</w:t>
      </w:r>
      <w:r w:rsidR="006B5F55">
        <w:rPr>
          <w:rFonts w:ascii="Palatino Linotype" w:hAnsi="Palatino Linotype"/>
        </w:rPr>
        <w:t xml:space="preserve"> de un conocimiento de uso público, mayor formación cívica, entre otros -  que justifica que haya un apoyo del Estado en su financiamiento. Esto se conoce como una externalidad positiva en el lenguaje económico. No obstante, cuando reciben educación de calidad, los graduados de la educación superior también reciben altos beneficios privados (Blundell et al. 2005</w:t>
      </w:r>
      <w:r w:rsidR="006B5F55">
        <w:rPr>
          <w:rStyle w:val="Refdenotaalpie"/>
          <w:rFonts w:ascii="Palatino Linotype" w:hAnsi="Palatino Linotype"/>
        </w:rPr>
        <w:footnoteReference w:id="18"/>
      </w:r>
      <w:r w:rsidR="006B5F55">
        <w:rPr>
          <w:rFonts w:ascii="Palatino Linotype" w:hAnsi="Palatino Linotype"/>
        </w:rPr>
        <w:t>, Urzúa 2012</w:t>
      </w:r>
      <w:r w:rsidR="006B5F55">
        <w:rPr>
          <w:rStyle w:val="Refdenotaalpie"/>
          <w:rFonts w:ascii="Palatino Linotype" w:hAnsi="Palatino Linotype"/>
        </w:rPr>
        <w:footnoteReference w:id="19"/>
      </w:r>
      <w:r w:rsidR="006B5F55">
        <w:rPr>
          <w:rFonts w:ascii="Palatino Linotype" w:hAnsi="Palatino Linotype"/>
        </w:rPr>
        <w:t>)</w:t>
      </w:r>
      <w:r w:rsidR="00AB2F86">
        <w:rPr>
          <w:rFonts w:ascii="Palatino Linotype" w:hAnsi="Palatino Linotype"/>
        </w:rPr>
        <w:t>, que se traducen en mejores rentas, oportunida</w:t>
      </w:r>
      <w:r w:rsidR="001F531A">
        <w:rPr>
          <w:rFonts w:ascii="Palatino Linotype" w:hAnsi="Palatino Linotype"/>
        </w:rPr>
        <w:t>d de conseguir mejores trabajos y</w:t>
      </w:r>
      <w:r w:rsidR="00AB2F86">
        <w:rPr>
          <w:rFonts w:ascii="Palatino Linotype" w:hAnsi="Palatino Linotype"/>
        </w:rPr>
        <w:t xml:space="preserve"> menor vulnerabilidad laboral. Lo anterior implica que sea eficiente y también justo que los estudiantes de educación superior carguen con una parte del costo de su educación. En este sentido, las personas deberían cargar con este costo cuando pueden permitírselo: una vez graduados, y no cuando están estudiando.</w:t>
      </w:r>
    </w:p>
    <w:p w14:paraId="79350D50" w14:textId="77777777" w:rsidR="00AB2F86" w:rsidRDefault="00AB2F86" w:rsidP="006B5F55">
      <w:pPr>
        <w:jc w:val="both"/>
        <w:rPr>
          <w:rFonts w:ascii="Palatino Linotype" w:hAnsi="Palatino Linotype"/>
        </w:rPr>
      </w:pPr>
    </w:p>
    <w:p w14:paraId="3A9A175B" w14:textId="0858E433" w:rsidR="00AB2F86" w:rsidRDefault="004E59EE" w:rsidP="00AB2F86">
      <w:pPr>
        <w:pStyle w:val="Ttulo3"/>
        <w:rPr>
          <w:rFonts w:ascii="Palatino Linotype" w:hAnsi="Palatino Linotype"/>
          <w:color w:val="auto"/>
          <w:sz w:val="26"/>
          <w:szCs w:val="26"/>
          <w:lang w:val="es-ES"/>
        </w:rPr>
      </w:pPr>
      <w:bookmarkStart w:id="22" w:name="_Toc391553451"/>
      <w:r>
        <w:rPr>
          <w:rFonts w:ascii="Palatino Linotype" w:hAnsi="Palatino Linotype"/>
          <w:color w:val="auto"/>
          <w:sz w:val="26"/>
          <w:szCs w:val="26"/>
          <w:lang w:val="es-ES"/>
        </w:rPr>
        <w:t>i</w:t>
      </w:r>
      <w:r w:rsidR="00AB2F86">
        <w:rPr>
          <w:rFonts w:ascii="Palatino Linotype" w:hAnsi="Palatino Linotype"/>
          <w:color w:val="auto"/>
          <w:sz w:val="26"/>
          <w:szCs w:val="26"/>
          <w:lang w:val="es-ES"/>
        </w:rPr>
        <w:t>i</w:t>
      </w:r>
      <w:r w:rsidR="00AB2F86">
        <w:rPr>
          <w:rFonts w:ascii="Palatino Linotype" w:hAnsi="Palatino Linotype"/>
          <w:vanish/>
          <w:color w:val="auto"/>
          <w:sz w:val="26"/>
          <w:szCs w:val="26"/>
          <w:lang w:val="es-ES"/>
        </w:rPr>
        <w:t>estanciamiento: estudiantes</w:t>
      </w:r>
      <w:r w:rsidR="00AB2F86">
        <w:rPr>
          <w:rFonts w:ascii="Palatino Linotype" w:hAnsi="Palatino Linotype"/>
          <w:vanish/>
          <w:color w:val="auto"/>
          <w:sz w:val="26"/>
          <w:szCs w:val="26"/>
          <w:lang w:val="es-ES"/>
        </w:rPr>
        <w:cr/>
        <w:t>(PSU)rogado en febrero de 2018, a tracporte Fiscal Indirecto. uch)oucacifesionales y 59 mil a Centro</w:t>
      </w:r>
      <w:r w:rsidR="00AB2F86"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 xml:space="preserve">Proposición 2: </w:t>
      </w:r>
      <w:r w:rsidR="00AB2F86">
        <w:rPr>
          <w:rFonts w:ascii="Palatino Linotype" w:hAnsi="Palatino Linotype"/>
          <w:color w:val="auto"/>
          <w:sz w:val="26"/>
          <w:szCs w:val="26"/>
          <w:lang w:val="es-ES"/>
        </w:rPr>
        <w:t xml:space="preserve">¿Cómo se debería pagar? Introducción de los </w:t>
      </w:r>
      <w:r>
        <w:rPr>
          <w:rFonts w:ascii="Palatino Linotype" w:hAnsi="Palatino Linotype"/>
          <w:color w:val="auto"/>
          <w:sz w:val="26"/>
          <w:szCs w:val="26"/>
          <w:lang w:val="es-ES"/>
        </w:rPr>
        <w:t>C</w:t>
      </w:r>
      <w:r w:rsidR="00AB2F86">
        <w:rPr>
          <w:rFonts w:ascii="Palatino Linotype" w:hAnsi="Palatino Linotype"/>
          <w:color w:val="auto"/>
          <w:sz w:val="26"/>
          <w:szCs w:val="26"/>
          <w:lang w:val="es-ES"/>
        </w:rPr>
        <w:t xml:space="preserve">réditos </w:t>
      </w:r>
      <w:r>
        <w:rPr>
          <w:rFonts w:ascii="Palatino Linotype" w:hAnsi="Palatino Linotype"/>
          <w:color w:val="auto"/>
          <w:sz w:val="26"/>
          <w:szCs w:val="26"/>
          <w:lang w:val="es-ES"/>
        </w:rPr>
        <w:t>C</w:t>
      </w:r>
      <w:r w:rsidR="00AB2F86">
        <w:rPr>
          <w:rFonts w:ascii="Palatino Linotype" w:hAnsi="Palatino Linotype"/>
          <w:color w:val="auto"/>
          <w:sz w:val="26"/>
          <w:szCs w:val="26"/>
          <w:lang w:val="es-ES"/>
        </w:rPr>
        <w:t xml:space="preserve">ontingentes al </w:t>
      </w:r>
      <w:r>
        <w:rPr>
          <w:rFonts w:ascii="Palatino Linotype" w:hAnsi="Palatino Linotype"/>
          <w:color w:val="auto"/>
          <w:sz w:val="26"/>
          <w:szCs w:val="26"/>
          <w:lang w:val="es-ES"/>
        </w:rPr>
        <w:t>I</w:t>
      </w:r>
      <w:r w:rsidR="00AB2F86">
        <w:rPr>
          <w:rFonts w:ascii="Palatino Linotype" w:hAnsi="Palatino Linotype"/>
          <w:color w:val="auto"/>
          <w:sz w:val="26"/>
          <w:szCs w:val="26"/>
          <w:lang w:val="es-ES"/>
        </w:rPr>
        <w:t>ngreso</w:t>
      </w:r>
      <w:r>
        <w:rPr>
          <w:rFonts w:ascii="Palatino Linotype" w:hAnsi="Palatino Linotype"/>
          <w:color w:val="auto"/>
          <w:sz w:val="26"/>
          <w:szCs w:val="26"/>
          <w:lang w:val="es-ES"/>
        </w:rPr>
        <w:t xml:space="preserve"> (CGI)</w:t>
      </w:r>
      <w:bookmarkEnd w:id="22"/>
    </w:p>
    <w:p w14:paraId="31F33546" w14:textId="77777777" w:rsidR="00AB2F86" w:rsidRDefault="00AB2F86" w:rsidP="006B5F55">
      <w:pPr>
        <w:jc w:val="both"/>
        <w:rPr>
          <w:rFonts w:ascii="Palatino Linotype" w:hAnsi="Palatino Linotype"/>
        </w:rPr>
      </w:pPr>
    </w:p>
    <w:p w14:paraId="122782FC" w14:textId="4AB5ECD8" w:rsidR="00AB2F86" w:rsidRPr="002E250B" w:rsidRDefault="00AB2F86" w:rsidP="006B5F55">
      <w:pPr>
        <w:jc w:val="both"/>
        <w:rPr>
          <w:rFonts w:ascii="Palatino Linotype" w:hAnsi="Palatino Linotype"/>
        </w:rPr>
      </w:pPr>
      <w:r>
        <w:rPr>
          <w:rFonts w:ascii="Palatino Linotype" w:hAnsi="Palatino Linotype"/>
        </w:rPr>
        <w:t>Un mecanismo justo y eficiente en términos económicos es el crédito contingente al ingreso</w:t>
      </w:r>
      <w:r w:rsidR="00AE78E6">
        <w:rPr>
          <w:rFonts w:ascii="Palatino Linotype" w:hAnsi="Palatino Linotype"/>
        </w:rPr>
        <w:t>.</w:t>
      </w:r>
      <w:r w:rsidR="00E83AFF">
        <w:rPr>
          <w:rFonts w:ascii="Palatino Linotype" w:hAnsi="Palatino Linotype"/>
        </w:rPr>
        <w:t xml:space="preserve"> Éste permite que los estudiantes que tengan las capacidades y la motivación para entrar a la educación superior no estén impedidos de hacerlo, así </w:t>
      </w:r>
      <w:r w:rsidR="00E83AFF">
        <w:rPr>
          <w:rFonts w:ascii="Palatino Linotype" w:hAnsi="Palatino Linotype"/>
        </w:rPr>
        <w:lastRenderedPageBreak/>
        <w:t xml:space="preserve">como </w:t>
      </w:r>
      <w:r w:rsidR="001F531A">
        <w:rPr>
          <w:rFonts w:ascii="Palatino Linotype" w:hAnsi="Palatino Linotype"/>
        </w:rPr>
        <w:t xml:space="preserve">se </w:t>
      </w:r>
      <w:r w:rsidR="00E83AFF">
        <w:rPr>
          <w:rFonts w:ascii="Palatino Linotype" w:hAnsi="Palatino Linotype"/>
        </w:rPr>
        <w:t>les exige que paguen su educación cuando pueden permitírselo, que es una vez han egresado y tienen ingresos suficientes para hacerlo.</w:t>
      </w:r>
    </w:p>
    <w:p w14:paraId="5E5550F5" w14:textId="77777777" w:rsidR="00890E76" w:rsidRDefault="00890E76" w:rsidP="00E83AFF">
      <w:pPr>
        <w:rPr>
          <w:rFonts w:ascii="Palatino Linotype" w:hAnsi="Palatino Linotype"/>
          <w:sz w:val="20"/>
        </w:rPr>
      </w:pPr>
    </w:p>
    <w:p w14:paraId="1B36477D" w14:textId="3E5B1BB0" w:rsidR="00E83AFF" w:rsidRDefault="00E83AFF" w:rsidP="00E83AFF">
      <w:pPr>
        <w:jc w:val="both"/>
        <w:rPr>
          <w:rFonts w:ascii="Palatino Linotype" w:hAnsi="Palatino Linotype"/>
        </w:rPr>
      </w:pPr>
      <w:r w:rsidRPr="00E83AFF">
        <w:rPr>
          <w:rFonts w:ascii="Palatino Linotype" w:hAnsi="Palatino Linotype"/>
        </w:rPr>
        <w:t>Desde el punto de vista del costo, un sis</w:t>
      </w:r>
      <w:r w:rsidR="001F531A">
        <w:rPr>
          <w:rFonts w:ascii="Palatino Linotype" w:hAnsi="Palatino Linotype"/>
        </w:rPr>
        <w:t xml:space="preserve">tema de créditos bien diseñado </w:t>
      </w:r>
      <w:r w:rsidRPr="00E83AFF">
        <w:rPr>
          <w:rFonts w:ascii="Palatino Linotype" w:hAnsi="Palatino Linotype"/>
        </w:rPr>
        <w:t xml:space="preserve">debería proteger al </w:t>
      </w:r>
      <w:r>
        <w:rPr>
          <w:rFonts w:ascii="Palatino Linotype" w:hAnsi="Palatino Linotype"/>
        </w:rPr>
        <w:t xml:space="preserve">beneficiado a través de tres formas: (i) aquellos graduados que tengan ingresos bajos, menores a un umbral mínimo, deberían quedar exentos del pago del crédito hasta que superen ese umbral. Así se protege a las personas que, por distintas razones, no han sido capaces de encontrar trabajos bien remunerados. (ii) Debería haber un plazo máximo de pago del crédito; luego de una cierta cantidad de años, la deuda debería expirar. Así se protege a aquellos graduados que tienen ingresos superiores al umbral mínimo, pero no lo suficientemente altos, y que por lo tanto tienen que cargar con el costo de su educación por una gran cantidad de años. (iii) Por último, </w:t>
      </w:r>
      <w:r w:rsidR="00EB3D16">
        <w:rPr>
          <w:rFonts w:ascii="Palatino Linotype" w:hAnsi="Palatino Linotype"/>
        </w:rPr>
        <w:t>se puede generar un subsidio en</w:t>
      </w:r>
      <w:r>
        <w:rPr>
          <w:rFonts w:ascii="Palatino Linotype" w:hAnsi="Palatino Linotype"/>
        </w:rPr>
        <w:t xml:space="preserve"> la tasa de interés; entendiendo que la educación superior genera una externalidad positiva en el sistema, subsidiar la tasa de interés de los créditos es otra forma de fomentar a los estudiantes a que</w:t>
      </w:r>
      <w:r w:rsidR="00ED5983">
        <w:rPr>
          <w:rFonts w:ascii="Palatino Linotype" w:hAnsi="Palatino Linotype"/>
        </w:rPr>
        <w:t xml:space="preserve"> continúen con estudios superiores.</w:t>
      </w:r>
    </w:p>
    <w:p w14:paraId="67691046" w14:textId="77777777" w:rsidR="00ED5983" w:rsidRDefault="00ED5983" w:rsidP="00E83AFF">
      <w:pPr>
        <w:jc w:val="both"/>
        <w:rPr>
          <w:rFonts w:ascii="Palatino Linotype" w:hAnsi="Palatino Linotype"/>
        </w:rPr>
      </w:pPr>
    </w:p>
    <w:p w14:paraId="44A23CFF" w14:textId="77777777" w:rsidR="00ED5983" w:rsidRDefault="00ED5983" w:rsidP="00E83AFF">
      <w:pPr>
        <w:jc w:val="both"/>
        <w:rPr>
          <w:rFonts w:ascii="Palatino Linotype" w:hAnsi="Palatino Linotype"/>
        </w:rPr>
      </w:pPr>
    </w:p>
    <w:p w14:paraId="01624759" w14:textId="10FC906A" w:rsidR="00ED5983" w:rsidRDefault="00ED5983" w:rsidP="00ED5983">
      <w:pPr>
        <w:pStyle w:val="Ttulo3"/>
        <w:rPr>
          <w:rFonts w:ascii="Palatino Linotype" w:hAnsi="Palatino Linotype"/>
          <w:color w:val="auto"/>
          <w:sz w:val="26"/>
          <w:szCs w:val="26"/>
          <w:lang w:val="es-ES"/>
        </w:rPr>
      </w:pPr>
      <w:bookmarkStart w:id="23" w:name="_Toc391553452"/>
      <w:r>
        <w:rPr>
          <w:rFonts w:ascii="Palatino Linotype" w:hAnsi="Palatino Linotype"/>
          <w:color w:val="auto"/>
          <w:sz w:val="26"/>
          <w:szCs w:val="26"/>
          <w:lang w:val="es-ES"/>
        </w:rPr>
        <w:t>i</w:t>
      </w:r>
      <w:r w:rsidR="004E59EE">
        <w:rPr>
          <w:rFonts w:ascii="Palatino Linotype" w:hAnsi="Palatino Linotype"/>
          <w:color w:val="auto"/>
          <w:sz w:val="26"/>
          <w:szCs w:val="26"/>
          <w:lang w:val="es-ES"/>
        </w:rPr>
        <w:t>ii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sidR="004E59EE">
        <w:rPr>
          <w:rFonts w:ascii="Palatino Linotype" w:hAnsi="Palatino Linotype"/>
          <w:color w:val="auto"/>
          <w:sz w:val="26"/>
          <w:szCs w:val="26"/>
          <w:lang w:val="es-ES"/>
        </w:rPr>
        <w:t xml:space="preserve">Proposición 3: </w:t>
      </w:r>
      <w:r>
        <w:rPr>
          <w:rFonts w:ascii="Palatino Linotype" w:hAnsi="Palatino Linotype"/>
          <w:color w:val="auto"/>
          <w:sz w:val="26"/>
          <w:szCs w:val="26"/>
          <w:lang w:val="es-ES"/>
        </w:rPr>
        <w:t>¿Cómo se vela por la calidad en el sistema de educación superior?</w:t>
      </w:r>
      <w:bookmarkEnd w:id="23"/>
    </w:p>
    <w:p w14:paraId="3E72CF98" w14:textId="77777777" w:rsidR="00E83AFF" w:rsidRDefault="00E83AFF" w:rsidP="00E83AFF">
      <w:pPr>
        <w:jc w:val="both"/>
        <w:rPr>
          <w:rFonts w:ascii="Palatino Linotype" w:hAnsi="Palatino Linotype"/>
        </w:rPr>
      </w:pPr>
    </w:p>
    <w:p w14:paraId="5592C7FE" w14:textId="06DDC26B" w:rsidR="00E83AFF" w:rsidRDefault="00ED5983" w:rsidP="00E83AFF">
      <w:pPr>
        <w:jc w:val="both"/>
        <w:rPr>
          <w:rFonts w:ascii="Palatino Linotype" w:hAnsi="Palatino Linotype"/>
        </w:rPr>
      </w:pPr>
      <w:r>
        <w:rPr>
          <w:rFonts w:ascii="Palatino Linotype" w:hAnsi="Palatino Linotype"/>
        </w:rPr>
        <w:t xml:space="preserve">La calidad de la educación en las IES se aborda desde distintas perspectivas, que involucran la calidad de los profesores, los mecanismos de admisión, las dinámicas que se dan dentro de la sala de clases, el </w:t>
      </w:r>
      <w:r w:rsidR="0050478A">
        <w:rPr>
          <w:rFonts w:ascii="Palatino Linotype" w:hAnsi="Palatino Linotype"/>
        </w:rPr>
        <w:t>método de enseñanza, entre mucha</w:t>
      </w:r>
      <w:r>
        <w:rPr>
          <w:rFonts w:ascii="Palatino Linotype" w:hAnsi="Palatino Linotype"/>
        </w:rPr>
        <w:t>s otr</w:t>
      </w:r>
      <w:r w:rsidR="00EB3D16">
        <w:rPr>
          <w:rFonts w:ascii="Palatino Linotype" w:hAnsi="Palatino Linotype"/>
        </w:rPr>
        <w:t>a</w:t>
      </w:r>
      <w:r>
        <w:rPr>
          <w:rFonts w:ascii="Palatino Linotype" w:hAnsi="Palatino Linotype"/>
        </w:rPr>
        <w:t xml:space="preserve">s. Un aspecto en particular dice relación con la información que entrega el sistema a sus usuarios. En este sentido, es central que haya información de calidad respecto a cómo funciona el sistema de financiamiento en la educación superior, así como que los usuarios </w:t>
      </w:r>
      <w:r w:rsidR="0050478A">
        <w:rPr>
          <w:rFonts w:ascii="Palatino Linotype" w:hAnsi="Palatino Linotype"/>
        </w:rPr>
        <w:t xml:space="preserve">efectivamente </w:t>
      </w:r>
      <w:r>
        <w:rPr>
          <w:rFonts w:ascii="Palatino Linotype" w:hAnsi="Palatino Linotype"/>
        </w:rPr>
        <w:t xml:space="preserve">usen esta información para tomar sus decisiones. </w:t>
      </w:r>
      <w:r w:rsidR="00EB3D16">
        <w:rPr>
          <w:rFonts w:ascii="Palatino Linotype" w:hAnsi="Palatino Linotype"/>
        </w:rPr>
        <w:t>La teoría económica sugiere que la competencia entre planteles educativos es saludable cuando los estudiantes están bien informados. Esta simple proposición no implica que los estudiantes deben estar perfectamente informados sobre todas sus opciones de IES, sino que por el contrario, asume que existe un sistema con mecanismos de información públicos, unificados, y consistentes en el tiempo, que permitan al usuario tomar decisiones informadas.</w:t>
      </w:r>
    </w:p>
    <w:p w14:paraId="04783BAC" w14:textId="77777777" w:rsidR="00EB3D16" w:rsidRDefault="00EB3D16" w:rsidP="00E83AFF">
      <w:pPr>
        <w:jc w:val="both"/>
        <w:rPr>
          <w:rFonts w:ascii="Palatino Linotype" w:hAnsi="Palatino Linotype"/>
        </w:rPr>
      </w:pPr>
    </w:p>
    <w:p w14:paraId="3F445065" w14:textId="77777777" w:rsidR="00673796" w:rsidRDefault="00673796" w:rsidP="00E83AFF">
      <w:pPr>
        <w:jc w:val="both"/>
        <w:rPr>
          <w:rFonts w:ascii="Palatino Linotype" w:hAnsi="Palatino Linotype"/>
        </w:rPr>
      </w:pPr>
    </w:p>
    <w:p w14:paraId="3ACD10E0" w14:textId="77777777" w:rsidR="00673796" w:rsidRDefault="00673796" w:rsidP="00E83AFF">
      <w:pPr>
        <w:jc w:val="both"/>
        <w:rPr>
          <w:rFonts w:ascii="Palatino Linotype" w:hAnsi="Palatino Linotype"/>
        </w:rPr>
      </w:pPr>
    </w:p>
    <w:p w14:paraId="0D6BBC15" w14:textId="7FD55470" w:rsidR="00EB3D16" w:rsidRDefault="004E59EE" w:rsidP="00EB3D16">
      <w:pPr>
        <w:pStyle w:val="Ttulo3"/>
        <w:rPr>
          <w:rFonts w:ascii="Palatino Linotype" w:hAnsi="Palatino Linotype"/>
          <w:color w:val="auto"/>
          <w:sz w:val="26"/>
          <w:szCs w:val="26"/>
          <w:lang w:val="es-ES"/>
        </w:rPr>
      </w:pPr>
      <w:bookmarkStart w:id="24" w:name="_Toc391553453"/>
      <w:r>
        <w:rPr>
          <w:rFonts w:ascii="Palatino Linotype" w:hAnsi="Palatino Linotype"/>
          <w:color w:val="auto"/>
          <w:sz w:val="26"/>
          <w:szCs w:val="26"/>
          <w:lang w:val="es-ES"/>
        </w:rPr>
        <w:lastRenderedPageBreak/>
        <w:t>i</w:t>
      </w:r>
      <w:r w:rsidR="00EB3D16">
        <w:rPr>
          <w:rFonts w:ascii="Palatino Linotype" w:hAnsi="Palatino Linotype"/>
          <w:color w:val="auto"/>
          <w:sz w:val="26"/>
          <w:szCs w:val="26"/>
          <w:lang w:val="es-ES"/>
        </w:rPr>
        <w:t>v</w:t>
      </w:r>
      <w:r w:rsidR="00EB3D16">
        <w:rPr>
          <w:rFonts w:ascii="Palatino Linotype" w:hAnsi="Palatino Linotype"/>
          <w:vanish/>
          <w:color w:val="auto"/>
          <w:sz w:val="26"/>
          <w:szCs w:val="26"/>
          <w:lang w:val="es-ES"/>
        </w:rPr>
        <w:t>estanciamiento: estudiantes</w:t>
      </w:r>
      <w:r w:rsidR="00EB3D16">
        <w:rPr>
          <w:rFonts w:ascii="Palatino Linotype" w:hAnsi="Palatino Linotype"/>
          <w:vanish/>
          <w:color w:val="auto"/>
          <w:sz w:val="26"/>
          <w:szCs w:val="26"/>
          <w:lang w:val="es-ES"/>
        </w:rPr>
        <w:cr/>
        <w:t>(PSU)rogado en febrero de 2018, a tracporte Fiscal Indirecto. uch)oucacifesionales y 59 mil a Centro</w:t>
      </w:r>
      <w:r w:rsidR="00EB3D16"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 xml:space="preserve">Proposición 4: </w:t>
      </w:r>
      <w:r w:rsidR="00EB3D16">
        <w:rPr>
          <w:rFonts w:ascii="Palatino Linotype" w:hAnsi="Palatino Linotype"/>
          <w:color w:val="auto"/>
          <w:sz w:val="26"/>
          <w:szCs w:val="26"/>
          <w:lang w:val="es-ES"/>
        </w:rPr>
        <w:t xml:space="preserve">Importancia del rol del </w:t>
      </w:r>
      <w:r w:rsidR="00B11626">
        <w:rPr>
          <w:rFonts w:ascii="Palatino Linotype" w:hAnsi="Palatino Linotype"/>
          <w:color w:val="auto"/>
          <w:sz w:val="26"/>
          <w:szCs w:val="26"/>
          <w:lang w:val="es-ES"/>
        </w:rPr>
        <w:t>Estado</w:t>
      </w:r>
      <w:bookmarkEnd w:id="24"/>
    </w:p>
    <w:p w14:paraId="75EF7FAB" w14:textId="77777777" w:rsidR="00EB3D16" w:rsidRDefault="00EB3D16" w:rsidP="00EB3D16"/>
    <w:p w14:paraId="0001BCBC" w14:textId="16D8E1FE" w:rsidR="00EB3D16" w:rsidRPr="00EB3D16" w:rsidRDefault="00B11626" w:rsidP="00B11626">
      <w:pPr>
        <w:jc w:val="both"/>
        <w:rPr>
          <w:rFonts w:ascii="Palatino Linotype" w:hAnsi="Palatino Linotype"/>
        </w:rPr>
      </w:pPr>
      <w:r>
        <w:rPr>
          <w:rFonts w:ascii="Palatino Linotype" w:hAnsi="Palatino Linotype"/>
        </w:rPr>
        <w:t xml:space="preserve">El argumento de la competencia entre planteles universitarios no reniega del rol </w:t>
      </w:r>
      <w:r w:rsidR="001F531A">
        <w:rPr>
          <w:rFonts w:ascii="Palatino Linotype" w:hAnsi="Palatino Linotype"/>
        </w:rPr>
        <w:t xml:space="preserve">que </w:t>
      </w:r>
      <w:r>
        <w:rPr>
          <w:rFonts w:ascii="Palatino Linotype" w:hAnsi="Palatino Linotype"/>
        </w:rPr>
        <w:t xml:space="preserve">puede tener el Estado en el sistema de educación superior, el cual se resume en seis aspectos principales: (i) debe proveer apoyo a sus contribuyentes para que realicen estudios de educación superior; (ii) debe asegurarse que hay un buen sistema de créditos para estudiar; (iii) debe adoptar, fomentar y mandatar políticas públicas aumentar la participación en la educación terciaria; (iv) debe regular el sistema, garantizando un nivel de calidad mínimo; </w:t>
      </w:r>
      <w:r w:rsidR="003A1D38">
        <w:rPr>
          <w:rFonts w:ascii="Palatino Linotype" w:hAnsi="Palatino Linotype"/>
        </w:rPr>
        <w:t xml:space="preserve">(v) </w:t>
      </w:r>
      <w:r>
        <w:rPr>
          <w:rFonts w:ascii="Palatino Linotype" w:hAnsi="Palatino Linotype"/>
        </w:rPr>
        <w:t>debe impl</w:t>
      </w:r>
      <w:r w:rsidR="003A1D38">
        <w:rPr>
          <w:rFonts w:ascii="Palatino Linotype" w:hAnsi="Palatino Linotype"/>
        </w:rPr>
        <w:t>ementar subsidios para aquellas carreras o áreas técnicas o profesionales que quiere promover, así como para los estudiantes que no tienen los recursos económicos para ingresas a IES.</w:t>
      </w:r>
    </w:p>
    <w:p w14:paraId="1395DCD3" w14:textId="77777777" w:rsidR="00EB3D16" w:rsidRPr="00E83AFF" w:rsidRDefault="00EB3D16" w:rsidP="00E83AFF">
      <w:pPr>
        <w:jc w:val="both"/>
        <w:rPr>
          <w:rFonts w:ascii="Palatino Linotype" w:hAnsi="Palatino Linotype"/>
        </w:rPr>
      </w:pPr>
    </w:p>
    <w:p w14:paraId="33B489F3" w14:textId="7EE7427B" w:rsidR="004E59EE" w:rsidRDefault="004E59EE" w:rsidP="004E59EE">
      <w:pPr>
        <w:pStyle w:val="Ttulo3"/>
        <w:rPr>
          <w:rFonts w:ascii="Palatino Linotype" w:hAnsi="Palatino Linotype"/>
          <w:color w:val="auto"/>
          <w:sz w:val="26"/>
          <w:szCs w:val="26"/>
          <w:lang w:val="es-ES"/>
        </w:rPr>
      </w:pPr>
      <w:bookmarkStart w:id="25" w:name="_Toc391553454"/>
      <w:r>
        <w:rPr>
          <w:rFonts w:ascii="Palatino Linotype" w:hAnsi="Palatino Linotype"/>
          <w:color w:val="auto"/>
          <w:sz w:val="26"/>
          <w:szCs w:val="26"/>
          <w:lang w:val="es-ES"/>
        </w:rPr>
        <w:t>v</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Estrategia para un buen sistema de financiamiento en la educación superior</w:t>
      </w:r>
      <w:bookmarkEnd w:id="25"/>
    </w:p>
    <w:p w14:paraId="0A0FB647" w14:textId="77777777" w:rsidR="00890E76" w:rsidRDefault="00890E76" w:rsidP="004E59EE">
      <w:pPr>
        <w:jc w:val="both"/>
        <w:rPr>
          <w:rFonts w:ascii="Palatino Linotype" w:hAnsi="Palatino Linotype" w:cs="Times New Roman"/>
        </w:rPr>
      </w:pPr>
    </w:p>
    <w:p w14:paraId="3E143B12" w14:textId="4EFC64AB" w:rsidR="00EE3D1D" w:rsidRDefault="00EE3D1D" w:rsidP="004E59EE">
      <w:pPr>
        <w:jc w:val="both"/>
        <w:rPr>
          <w:rFonts w:ascii="Palatino Linotype" w:hAnsi="Palatino Linotype" w:cs="Times New Roman"/>
        </w:rPr>
      </w:pPr>
      <w:r>
        <w:rPr>
          <w:rFonts w:ascii="Palatino Linotype" w:hAnsi="Palatino Linotype" w:cs="Times New Roman"/>
        </w:rPr>
        <w:t>De acuerdo a lo planteado en la sub-sección anterior, para contar con un sistema de educación superior que funcione bien se deben considerar los siguientes elementos:</w:t>
      </w:r>
    </w:p>
    <w:p w14:paraId="1B9CA215" w14:textId="77777777" w:rsidR="00EE3D1D" w:rsidRDefault="00EE3D1D" w:rsidP="004E59EE">
      <w:pPr>
        <w:jc w:val="both"/>
        <w:rPr>
          <w:rFonts w:ascii="Palatino Linotype" w:hAnsi="Palatino Linotype" w:cs="Times New Roman"/>
        </w:rPr>
      </w:pPr>
    </w:p>
    <w:p w14:paraId="7BD70ADF" w14:textId="5737B1D8" w:rsidR="00EE3D1D" w:rsidRDefault="00EE3D1D" w:rsidP="004E59EE">
      <w:pPr>
        <w:jc w:val="both"/>
        <w:rPr>
          <w:rFonts w:ascii="Palatino Linotype" w:hAnsi="Palatino Linotype" w:cs="Times New Roman"/>
        </w:rPr>
      </w:pPr>
      <w:r w:rsidRPr="00EE3D1D">
        <w:rPr>
          <w:rFonts w:ascii="Palatino Linotype" w:hAnsi="Palatino Linotype" w:cs="Times New Roman"/>
          <w:i/>
        </w:rPr>
        <w:t>Elemento 1:</w:t>
      </w:r>
      <w:r>
        <w:rPr>
          <w:rFonts w:ascii="Palatino Linotype" w:hAnsi="Palatino Linotype" w:cs="Times New Roman"/>
          <w:i/>
        </w:rPr>
        <w:t xml:space="preserve"> </w:t>
      </w:r>
      <w:r>
        <w:rPr>
          <w:rFonts w:ascii="Palatino Linotype" w:hAnsi="Palatino Linotype" w:cs="Times New Roman"/>
        </w:rPr>
        <w:t>Las IES deben ser financiadas a través de una combinación entre impuestos y aranceles (proposición 1). Los aranceles le dan a las IES más recursos,  lo que permite la competencia en un ambiente de amplia información hacia los usuarios (proposición 4). No obstante, muchas veces los estudiantes no son capaces de financiar por sí solos su educación terciara, por lo que se hace necesario el elemento 2.</w:t>
      </w:r>
    </w:p>
    <w:p w14:paraId="50A571F2" w14:textId="77777777" w:rsidR="00EE3D1D" w:rsidRDefault="00EE3D1D" w:rsidP="004E59EE">
      <w:pPr>
        <w:jc w:val="both"/>
        <w:rPr>
          <w:rFonts w:ascii="Palatino Linotype" w:hAnsi="Palatino Linotype" w:cs="Times New Roman"/>
        </w:rPr>
      </w:pPr>
    </w:p>
    <w:p w14:paraId="0C31B953" w14:textId="0A37F9ED" w:rsidR="00EE3D1D" w:rsidRDefault="00CF1767" w:rsidP="004E59EE">
      <w:pPr>
        <w:jc w:val="both"/>
        <w:rPr>
          <w:rFonts w:ascii="Palatino Linotype" w:hAnsi="Palatino Linotype" w:cs="Times New Roman"/>
        </w:rPr>
      </w:pPr>
      <w:r>
        <w:rPr>
          <w:rFonts w:ascii="Palatino Linotype" w:hAnsi="Palatino Linotype" w:cs="Times New Roman"/>
          <w:i/>
        </w:rPr>
        <w:t xml:space="preserve">Elemento 2: </w:t>
      </w:r>
      <w:r>
        <w:rPr>
          <w:rFonts w:ascii="Palatino Linotype" w:hAnsi="Palatino Linotype" w:cs="Times New Roman"/>
        </w:rPr>
        <w:t>I</w:t>
      </w:r>
      <w:r w:rsidR="00EE3D1D">
        <w:rPr>
          <w:rFonts w:ascii="Palatino Linotype" w:hAnsi="Palatino Linotype" w:cs="Times New Roman"/>
        </w:rPr>
        <w:t>mplementar un sistema de créditos contingentes al ingreso</w:t>
      </w:r>
      <w:r>
        <w:rPr>
          <w:rFonts w:ascii="Palatino Linotype" w:hAnsi="Palatino Linotype" w:cs="Times New Roman"/>
        </w:rPr>
        <w:t xml:space="preserve"> (proposición 2). De esta forma,</w:t>
      </w:r>
      <w:r w:rsidR="00673796">
        <w:rPr>
          <w:rFonts w:ascii="Palatino Linotype" w:hAnsi="Palatino Linotype" w:cs="Times New Roman"/>
        </w:rPr>
        <w:t xml:space="preserve"> se permite que estudiantes bien informados, con méritos académicos, puedan ingresar al sistema de educación superior.</w:t>
      </w:r>
    </w:p>
    <w:p w14:paraId="207BA070" w14:textId="77777777" w:rsidR="00673796" w:rsidRDefault="00673796" w:rsidP="004E59EE">
      <w:pPr>
        <w:jc w:val="both"/>
        <w:rPr>
          <w:rFonts w:ascii="Palatino Linotype" w:hAnsi="Palatino Linotype" w:cs="Times New Roman"/>
        </w:rPr>
      </w:pPr>
    </w:p>
    <w:p w14:paraId="41C6AA06" w14:textId="11726C59" w:rsidR="00673796" w:rsidRPr="00673796" w:rsidRDefault="00673796" w:rsidP="004E59EE">
      <w:pPr>
        <w:jc w:val="both"/>
        <w:rPr>
          <w:rFonts w:ascii="Palatino Linotype" w:hAnsi="Palatino Linotype" w:cs="Times New Roman"/>
        </w:rPr>
      </w:pPr>
      <w:r w:rsidRPr="00673796">
        <w:rPr>
          <w:rFonts w:ascii="Palatino Linotype" w:hAnsi="Palatino Linotype" w:cs="Times New Roman"/>
          <w:i/>
        </w:rPr>
        <w:t>Elemento 3:</w:t>
      </w:r>
      <w:r>
        <w:rPr>
          <w:rFonts w:ascii="Palatino Linotype" w:hAnsi="Palatino Linotype" w:cs="Times New Roman"/>
          <w:i/>
        </w:rPr>
        <w:t xml:space="preserve"> </w:t>
      </w:r>
      <w:r>
        <w:rPr>
          <w:rFonts w:ascii="Palatino Linotype" w:hAnsi="Palatino Linotype" w:cs="Times New Roman"/>
        </w:rPr>
        <w:t>Desarrollar políticas públicas complementarias que se hagan cargo de problemas que pudieran surgir en la implementación de los CCI, como la deserción universitaria, la falta de información en los créditos y la inserción en el mundo laboral.</w:t>
      </w:r>
    </w:p>
    <w:p w14:paraId="17D06B28" w14:textId="77777777" w:rsidR="00890E76" w:rsidRDefault="00890E76" w:rsidP="00EE3D1D"/>
    <w:p w14:paraId="2D3463C9" w14:textId="77777777" w:rsidR="00B2142D" w:rsidRDefault="00B2142D" w:rsidP="00EE3D1D"/>
    <w:p w14:paraId="31AB9B33" w14:textId="77777777" w:rsidR="00890E76" w:rsidRDefault="00890E76" w:rsidP="00CD1D7E">
      <w:pPr>
        <w:pStyle w:val="Ttulo2"/>
        <w:rPr>
          <w:rFonts w:ascii="Palatino Linotype" w:hAnsi="Palatino Linotype"/>
          <w:b w:val="0"/>
          <w:color w:val="auto"/>
          <w:sz w:val="28"/>
        </w:rPr>
      </w:pPr>
    </w:p>
    <w:p w14:paraId="35013C37" w14:textId="46DD1C73" w:rsidR="00890E76" w:rsidRDefault="00673796" w:rsidP="00CD1D7E">
      <w:pPr>
        <w:pStyle w:val="Ttulo2"/>
        <w:rPr>
          <w:rFonts w:ascii="Palatino Linotype" w:hAnsi="Palatino Linotype"/>
          <w:b w:val="0"/>
          <w:color w:val="auto"/>
          <w:sz w:val="28"/>
        </w:rPr>
      </w:pPr>
      <w:r>
        <w:rPr>
          <w:rFonts w:ascii="Palatino Linotype" w:hAnsi="Palatino Linotype"/>
          <w:b w:val="0"/>
          <w:color w:val="auto"/>
          <w:sz w:val="28"/>
        </w:rPr>
        <w:br w:type="page"/>
      </w:r>
      <w:bookmarkStart w:id="26" w:name="_Toc391553455"/>
      <w:r w:rsidR="00890E76">
        <w:rPr>
          <w:rFonts w:ascii="Palatino Linotype" w:hAnsi="Palatino Linotype"/>
          <w:b w:val="0"/>
          <w:color w:val="auto"/>
          <w:sz w:val="28"/>
        </w:rPr>
        <w:lastRenderedPageBreak/>
        <w:t>B</w:t>
      </w:r>
      <w:r w:rsidR="00CD1D7E" w:rsidRPr="00175DC1">
        <w:rPr>
          <w:rFonts w:ascii="Palatino Linotype" w:hAnsi="Palatino Linotype"/>
          <w:b w:val="0"/>
          <w:color w:val="auto"/>
          <w:sz w:val="28"/>
        </w:rPr>
        <w:t xml:space="preserve">) </w:t>
      </w:r>
      <w:r w:rsidR="00890E76">
        <w:rPr>
          <w:rFonts w:ascii="Palatino Linotype" w:hAnsi="Palatino Linotype"/>
          <w:b w:val="0"/>
          <w:color w:val="auto"/>
          <w:sz w:val="28"/>
        </w:rPr>
        <w:t>Experiencia comparada</w:t>
      </w:r>
      <w:bookmarkEnd w:id="26"/>
    </w:p>
    <w:p w14:paraId="3C75E673" w14:textId="4A5BB625" w:rsidR="00890E76" w:rsidRDefault="00F51C4B" w:rsidP="00890E76">
      <w:pPr>
        <w:pStyle w:val="Ttulo3"/>
        <w:rPr>
          <w:rFonts w:ascii="Palatino Linotype" w:hAnsi="Palatino Linotype"/>
          <w:color w:val="auto"/>
          <w:sz w:val="26"/>
          <w:szCs w:val="26"/>
          <w:lang w:val="es-ES"/>
        </w:rPr>
      </w:pPr>
      <w:r>
        <w:rPr>
          <w:rFonts w:ascii="Palatino Linotype" w:hAnsi="Palatino Linotype"/>
          <w:b w:val="0"/>
          <w:color w:val="auto"/>
          <w:sz w:val="28"/>
        </w:rPr>
        <w:t xml:space="preserve"> </w:t>
      </w:r>
      <w:bookmarkStart w:id="27" w:name="_Toc391553456"/>
      <w:r w:rsidR="00890E76">
        <w:rPr>
          <w:rFonts w:ascii="Palatino Linotype" w:hAnsi="Palatino Linotype"/>
          <w:color w:val="auto"/>
          <w:sz w:val="26"/>
          <w:szCs w:val="26"/>
          <w:lang w:val="es-ES"/>
        </w:rPr>
        <w:t>i</w:t>
      </w:r>
      <w:r w:rsidR="00890E76">
        <w:rPr>
          <w:rFonts w:ascii="Palatino Linotype" w:hAnsi="Palatino Linotype"/>
          <w:vanish/>
          <w:color w:val="auto"/>
          <w:sz w:val="26"/>
          <w:szCs w:val="26"/>
          <w:lang w:val="es-ES"/>
        </w:rPr>
        <w:t>estanciamiento: estudiantes</w:t>
      </w:r>
      <w:r w:rsidR="00890E76">
        <w:rPr>
          <w:rFonts w:ascii="Palatino Linotype" w:hAnsi="Palatino Linotype"/>
          <w:vanish/>
          <w:color w:val="auto"/>
          <w:sz w:val="26"/>
          <w:szCs w:val="26"/>
          <w:lang w:val="es-ES"/>
        </w:rPr>
        <w:cr/>
        <w:t>(PSU)rogado en febrero de 2018, a tracporte Fiscal Indirecto. uch)oucacifesionales y 59 mil a Centro</w:t>
      </w:r>
      <w:r w:rsidR="00890E76" w:rsidRPr="005D2F79">
        <w:rPr>
          <w:rFonts w:ascii="Palatino Linotype" w:hAnsi="Palatino Linotype"/>
          <w:color w:val="auto"/>
          <w:sz w:val="26"/>
          <w:szCs w:val="26"/>
          <w:lang w:val="es-ES"/>
        </w:rPr>
        <w:t xml:space="preserve">) </w:t>
      </w:r>
      <w:r w:rsidR="00890E76">
        <w:rPr>
          <w:rFonts w:ascii="Palatino Linotype" w:hAnsi="Palatino Linotype"/>
          <w:color w:val="auto"/>
          <w:sz w:val="26"/>
          <w:szCs w:val="26"/>
          <w:lang w:val="es-ES"/>
        </w:rPr>
        <w:t xml:space="preserve">Créditos contingentes al ingreso: </w:t>
      </w:r>
      <w:r w:rsidR="00DC1EC1">
        <w:rPr>
          <w:rFonts w:ascii="Palatino Linotype" w:hAnsi="Palatino Linotype"/>
          <w:color w:val="auto"/>
          <w:sz w:val="26"/>
          <w:szCs w:val="26"/>
          <w:lang w:val="es-ES"/>
        </w:rPr>
        <w:t>C</w:t>
      </w:r>
      <w:r w:rsidR="00890E76">
        <w:rPr>
          <w:rFonts w:ascii="Palatino Linotype" w:hAnsi="Palatino Linotype"/>
          <w:color w:val="auto"/>
          <w:sz w:val="26"/>
          <w:szCs w:val="26"/>
          <w:lang w:val="es-ES"/>
        </w:rPr>
        <w:t>asos de Australia e Inglaterra</w:t>
      </w:r>
      <w:bookmarkEnd w:id="27"/>
    </w:p>
    <w:p w14:paraId="7BA5E3B7" w14:textId="77777777" w:rsidR="00CD1D7E" w:rsidRDefault="00CD1D7E" w:rsidP="00382107"/>
    <w:p w14:paraId="4CA53BE6" w14:textId="2214F2BA" w:rsidR="009E41D3" w:rsidRDefault="00926E45" w:rsidP="00A82247">
      <w:pPr>
        <w:jc w:val="both"/>
        <w:rPr>
          <w:rFonts w:ascii="Palatino Linotype" w:hAnsi="Palatino Linotype"/>
        </w:rPr>
      </w:pPr>
      <w:r>
        <w:rPr>
          <w:rFonts w:ascii="Palatino Linotype" w:hAnsi="Palatino Linotype"/>
        </w:rPr>
        <w:t xml:space="preserve">Sistemas de </w:t>
      </w:r>
      <w:r w:rsidR="004E59EE">
        <w:rPr>
          <w:rFonts w:ascii="Palatino Linotype" w:hAnsi="Palatino Linotype"/>
        </w:rPr>
        <w:t>créditos contingentes al ingreso</w:t>
      </w:r>
      <w:r>
        <w:rPr>
          <w:rFonts w:ascii="Palatino Linotype" w:hAnsi="Palatino Linotype"/>
        </w:rPr>
        <w:t xml:space="preserve"> se han adoptado en distintos países: Australia (1989), Nueva Zelanda (1991), Sudáfrica (1991), Inglaterra y Gales (1998)</w:t>
      </w:r>
      <w:r w:rsidR="005240A2">
        <w:rPr>
          <w:rStyle w:val="Refdenotaalpie"/>
          <w:rFonts w:ascii="Palatino Linotype" w:hAnsi="Palatino Linotype"/>
        </w:rPr>
        <w:footnoteReference w:id="20"/>
      </w:r>
      <w:r>
        <w:rPr>
          <w:rFonts w:ascii="Palatino Linotype" w:hAnsi="Palatino Linotype"/>
        </w:rPr>
        <w:t>, Hungría (2001), Corea del Sur (2009), Países Bajos (2016) y Malasia (2016), entre otros</w:t>
      </w:r>
      <w:r>
        <w:rPr>
          <w:rStyle w:val="Refdenotaalpie"/>
          <w:rFonts w:ascii="Palatino Linotype" w:hAnsi="Palatino Linotype"/>
        </w:rPr>
        <w:footnoteReference w:id="21"/>
      </w:r>
      <w:r>
        <w:rPr>
          <w:rFonts w:ascii="Palatino Linotype" w:hAnsi="Palatino Linotype"/>
        </w:rPr>
        <w:t>.</w:t>
      </w:r>
    </w:p>
    <w:p w14:paraId="060271C9" w14:textId="77777777" w:rsidR="00926E45" w:rsidRDefault="00926E45" w:rsidP="00A82247">
      <w:pPr>
        <w:jc w:val="both"/>
        <w:rPr>
          <w:rFonts w:ascii="Palatino Linotype" w:hAnsi="Palatino Linotype"/>
        </w:rPr>
      </w:pPr>
    </w:p>
    <w:p w14:paraId="26D3DF1F" w14:textId="6059383B" w:rsidR="00926E45" w:rsidRDefault="00926E45" w:rsidP="00A82247">
      <w:pPr>
        <w:jc w:val="both"/>
        <w:rPr>
          <w:rFonts w:ascii="Palatino Linotype" w:hAnsi="Palatino Linotype"/>
        </w:rPr>
      </w:pPr>
      <w:r>
        <w:rPr>
          <w:rFonts w:ascii="Palatino Linotype" w:hAnsi="Palatino Linotype"/>
        </w:rPr>
        <w:t>En esta sección, se revisarán los casos de Australia e Inglaterra</w:t>
      </w:r>
      <w:r w:rsidR="007E7952">
        <w:rPr>
          <w:rFonts w:ascii="Palatino Linotype" w:hAnsi="Palatino Linotype"/>
        </w:rPr>
        <w:t xml:space="preserve">, de acuerdo a lo recabado en el estudio del </w:t>
      </w:r>
      <w:r w:rsidR="007E7952" w:rsidRPr="007E7952">
        <w:rPr>
          <w:rFonts w:ascii="Palatino Linotype" w:hAnsi="Palatino Linotype"/>
          <w:i/>
        </w:rPr>
        <w:t>Centre for Global Higher Education</w:t>
      </w:r>
      <w:r w:rsidR="007E7952">
        <w:rPr>
          <w:rFonts w:ascii="Palatino Linotype" w:hAnsi="Palatino Linotype"/>
          <w:i/>
        </w:rPr>
        <w:t xml:space="preserve"> (2017)</w:t>
      </w:r>
      <w:r w:rsidR="007E7952">
        <w:rPr>
          <w:rStyle w:val="Refdenotaalpie"/>
          <w:rFonts w:ascii="Palatino Linotype" w:hAnsi="Palatino Linotype"/>
          <w:i/>
        </w:rPr>
        <w:footnoteReference w:id="22"/>
      </w:r>
      <w:r>
        <w:rPr>
          <w:rFonts w:ascii="Palatino Linotype" w:hAnsi="Palatino Linotype"/>
        </w:rPr>
        <w:t xml:space="preserve">. </w:t>
      </w:r>
      <w:r w:rsidR="00A82247">
        <w:rPr>
          <w:rFonts w:ascii="Palatino Linotype" w:hAnsi="Palatino Linotype"/>
        </w:rPr>
        <w:t>Las universidades  públicas en estos países cobran aranceles altos que son determinados por el gobierno. Actualmente, los aranceles máximos son:</w:t>
      </w:r>
    </w:p>
    <w:p w14:paraId="67CCB937" w14:textId="2B2BD2EC" w:rsidR="00A82247" w:rsidRDefault="00A82247" w:rsidP="00A82247">
      <w:pPr>
        <w:pStyle w:val="Prrafodelista"/>
        <w:numPr>
          <w:ilvl w:val="0"/>
          <w:numId w:val="19"/>
        </w:numPr>
        <w:jc w:val="both"/>
        <w:rPr>
          <w:rFonts w:ascii="Palatino Linotype" w:hAnsi="Palatino Linotype"/>
        </w:rPr>
      </w:pPr>
      <w:r>
        <w:rPr>
          <w:rFonts w:ascii="Palatino Linotype" w:hAnsi="Palatino Linotype"/>
        </w:rPr>
        <w:t xml:space="preserve">11.000 USD por año para un estudiante a tiempo completo en Inglaterra, independiente de la carrera que curse. </w:t>
      </w:r>
    </w:p>
    <w:p w14:paraId="4EBD3D42" w14:textId="4707456A" w:rsidR="0043145E" w:rsidRDefault="00A82247" w:rsidP="0043145E">
      <w:pPr>
        <w:pStyle w:val="Prrafodelista"/>
        <w:numPr>
          <w:ilvl w:val="0"/>
          <w:numId w:val="19"/>
        </w:numPr>
        <w:jc w:val="both"/>
        <w:rPr>
          <w:rFonts w:ascii="Palatino Linotype" w:hAnsi="Palatino Linotype"/>
        </w:rPr>
      </w:pPr>
      <w:r>
        <w:rPr>
          <w:rFonts w:ascii="Palatino Linotype" w:hAnsi="Palatino Linotype"/>
        </w:rPr>
        <w:t xml:space="preserve">Entre </w:t>
      </w:r>
      <w:r w:rsidR="0043145E">
        <w:rPr>
          <w:rFonts w:ascii="Palatino Linotype" w:hAnsi="Palatino Linotype"/>
        </w:rPr>
        <w:t>5.500</w:t>
      </w:r>
      <w:r>
        <w:rPr>
          <w:rFonts w:ascii="Palatino Linotype" w:hAnsi="Palatino Linotype"/>
        </w:rPr>
        <w:t xml:space="preserve"> y </w:t>
      </w:r>
      <w:r w:rsidR="0043145E">
        <w:rPr>
          <w:rFonts w:ascii="Palatino Linotype" w:hAnsi="Palatino Linotype"/>
        </w:rPr>
        <w:t>7</w:t>
      </w:r>
      <w:r>
        <w:rPr>
          <w:rFonts w:ascii="Palatino Linotype" w:hAnsi="Palatino Linotype"/>
        </w:rPr>
        <w:t xml:space="preserve">.000 USD, dependiendo </w:t>
      </w:r>
      <w:r w:rsidR="0043145E">
        <w:rPr>
          <w:rFonts w:ascii="Palatino Linotype" w:hAnsi="Palatino Linotype"/>
        </w:rPr>
        <w:t>de la carrera que se estudie. Existen tres categorías y, por ejemplo, artes y humanidades están en la categoría menor, mientras que derecho y medicina, en la más alta.</w:t>
      </w:r>
    </w:p>
    <w:p w14:paraId="7CFECCBE" w14:textId="77777777" w:rsidR="0043145E" w:rsidRDefault="0043145E" w:rsidP="0043145E">
      <w:pPr>
        <w:jc w:val="both"/>
        <w:rPr>
          <w:rFonts w:ascii="Palatino Linotype" w:hAnsi="Palatino Linotype"/>
        </w:rPr>
      </w:pPr>
    </w:p>
    <w:p w14:paraId="37661371" w14:textId="2B7F83D5" w:rsidR="0043145E" w:rsidRDefault="00890E76" w:rsidP="0043145E">
      <w:pPr>
        <w:jc w:val="both"/>
        <w:rPr>
          <w:rFonts w:ascii="Palatino Linotype" w:hAnsi="Palatino Linotype"/>
        </w:rPr>
      </w:pPr>
      <w:r>
        <w:rPr>
          <w:rFonts w:ascii="Palatino Linotype" w:hAnsi="Palatino Linotype"/>
        </w:rPr>
        <w:t>U</w:t>
      </w:r>
      <w:r w:rsidR="0043145E">
        <w:rPr>
          <w:rFonts w:ascii="Palatino Linotype" w:hAnsi="Palatino Linotype"/>
        </w:rPr>
        <w:t xml:space="preserve">na vez el estudiante se matricula en un programa educativo, tiene la opción de pagar el arancel anual al contado, o bien diferir el pago adquiriendo un crédito contingente al ingreso. La mayoría de los estudiantes optan por lo segundo (85% en Australia, 90% en Inglaterra). Así, se genera una deuda entre el estudiante y la agencia gubernamental que administra los créditos. Cuando el estudiante se gradúa, es el empleador el que retiene de su </w:t>
      </w:r>
      <w:r>
        <w:rPr>
          <w:rFonts w:ascii="Palatino Linotype" w:hAnsi="Palatino Linotype"/>
        </w:rPr>
        <w:t>salario</w:t>
      </w:r>
      <w:r w:rsidR="0043145E">
        <w:rPr>
          <w:rFonts w:ascii="Palatino Linotype" w:hAnsi="Palatino Linotype"/>
        </w:rPr>
        <w:t xml:space="preserve"> el porcentaje destinado al pago del crédito universitario, al igual como lo hace con su previsión e impuestos.</w:t>
      </w:r>
    </w:p>
    <w:p w14:paraId="078ED825" w14:textId="77777777" w:rsidR="0043145E" w:rsidRDefault="0043145E" w:rsidP="0043145E">
      <w:pPr>
        <w:jc w:val="both"/>
        <w:rPr>
          <w:rFonts w:ascii="Palatino Linotype" w:hAnsi="Palatino Linotype"/>
        </w:rPr>
      </w:pPr>
    </w:p>
    <w:p w14:paraId="2427512A" w14:textId="7A49701F" w:rsidR="007E7952" w:rsidRDefault="0043145E" w:rsidP="0043145E">
      <w:pPr>
        <w:jc w:val="both"/>
        <w:rPr>
          <w:rFonts w:ascii="Palatino Linotype" w:hAnsi="Palatino Linotype"/>
        </w:rPr>
      </w:pPr>
      <w:r>
        <w:rPr>
          <w:rFonts w:ascii="Palatino Linotype" w:hAnsi="Palatino Linotype"/>
        </w:rPr>
        <w:t>Tanto en Australia como en Inglaterra, los deudores no tienen la obligación de pagar la deuda si sus ingresos anuales se encuentran por debajo de un umbral mínimo (</w:t>
      </w:r>
      <w:r w:rsidR="00E81907">
        <w:rPr>
          <w:rFonts w:ascii="Palatino Linotype" w:hAnsi="Palatino Linotype"/>
        </w:rPr>
        <w:t>42.000 USD en Australia y 2</w:t>
      </w:r>
      <w:r w:rsidR="005240A2">
        <w:rPr>
          <w:rFonts w:ascii="Palatino Linotype" w:hAnsi="Palatino Linotype"/>
        </w:rPr>
        <w:t>7</w:t>
      </w:r>
      <w:r w:rsidR="00E81907">
        <w:rPr>
          <w:rFonts w:ascii="Palatino Linotype" w:hAnsi="Palatino Linotype"/>
        </w:rPr>
        <w:t>.000 USD en Inglaterra</w:t>
      </w:r>
      <w:r w:rsidR="005240A2">
        <w:rPr>
          <w:rStyle w:val="Refdenotaalpie"/>
          <w:rFonts w:ascii="Palatino Linotype" w:hAnsi="Palatino Linotype"/>
        </w:rPr>
        <w:footnoteReference w:id="23"/>
      </w:r>
      <w:r>
        <w:rPr>
          <w:rFonts w:ascii="Palatino Linotype" w:hAnsi="Palatino Linotype"/>
        </w:rPr>
        <w:t xml:space="preserve">). Por sobre estos umbrales, los deudores pagan un porcentaje de sus ingresos, que ascienden a </w:t>
      </w:r>
      <w:r w:rsidR="00E81907">
        <w:rPr>
          <w:rFonts w:ascii="Palatino Linotype" w:hAnsi="Palatino Linotype"/>
        </w:rPr>
        <w:t xml:space="preserve">8% en Australia </w:t>
      </w:r>
      <w:r>
        <w:rPr>
          <w:rFonts w:ascii="Palatino Linotype" w:hAnsi="Palatino Linotype"/>
        </w:rPr>
        <w:t>y</w:t>
      </w:r>
      <w:r w:rsidR="00E81907">
        <w:rPr>
          <w:rFonts w:ascii="Palatino Linotype" w:hAnsi="Palatino Linotype"/>
        </w:rPr>
        <w:t xml:space="preserve"> 9% en Inglaterra. </w:t>
      </w:r>
      <w:r w:rsidR="007E7952">
        <w:rPr>
          <w:rFonts w:ascii="Palatino Linotype" w:hAnsi="Palatino Linotype"/>
        </w:rPr>
        <w:t xml:space="preserve">Cuando la deuda se paga en su totalidad, los empleadores son informados y dejan de retener el porcentaje del sueldo dedicado al pago de la deuda. La duración media de la deuda es 8 años en Australia y 27 </w:t>
      </w:r>
      <w:r w:rsidR="007E7952">
        <w:rPr>
          <w:rFonts w:ascii="Palatino Linotype" w:hAnsi="Palatino Linotype"/>
        </w:rPr>
        <w:lastRenderedPageBreak/>
        <w:t>años en Inglaterra (aquí el costo de la educación es mayor). La deuda expira luego de transcurrir 30 años desde que el graduado comienza a pagar la deuda en Inglaterra, mientras que no hay un plazo de expiración en el caso de Australia.</w:t>
      </w:r>
    </w:p>
    <w:p w14:paraId="78341886" w14:textId="4F1F502C" w:rsidR="00E81907" w:rsidRPr="00E81907" w:rsidRDefault="00E81907" w:rsidP="00E81907">
      <w:pPr>
        <w:pStyle w:val="Epgrafe"/>
        <w:keepNext/>
        <w:rPr>
          <w:rFonts w:ascii="Palatino Linotype" w:hAnsi="Palatino Linotype"/>
          <w:color w:val="auto"/>
          <w:sz w:val="22"/>
        </w:rPr>
      </w:pPr>
      <w:bookmarkStart w:id="28" w:name="_Toc391553474"/>
      <w:r w:rsidRPr="00E81907">
        <w:rPr>
          <w:rFonts w:ascii="Palatino Linotype" w:hAnsi="Palatino Linotype"/>
          <w:color w:val="auto"/>
          <w:sz w:val="22"/>
        </w:rPr>
        <w:t xml:space="preserve">Tabla </w:t>
      </w:r>
      <w:r w:rsidRPr="00E81907">
        <w:rPr>
          <w:rFonts w:ascii="Palatino Linotype" w:hAnsi="Palatino Linotype"/>
          <w:color w:val="auto"/>
          <w:sz w:val="22"/>
        </w:rPr>
        <w:fldChar w:fldCharType="begin"/>
      </w:r>
      <w:r w:rsidRPr="00E81907">
        <w:rPr>
          <w:rFonts w:ascii="Palatino Linotype" w:hAnsi="Palatino Linotype"/>
          <w:color w:val="auto"/>
          <w:sz w:val="22"/>
        </w:rPr>
        <w:instrText xml:space="preserve"> SEQ Tabla \* ARABIC </w:instrText>
      </w:r>
      <w:r w:rsidRPr="00E81907">
        <w:rPr>
          <w:rFonts w:ascii="Palatino Linotype" w:hAnsi="Palatino Linotype"/>
          <w:color w:val="auto"/>
          <w:sz w:val="22"/>
        </w:rPr>
        <w:fldChar w:fldCharType="separate"/>
      </w:r>
      <w:r w:rsidR="00DC1EC1">
        <w:rPr>
          <w:rFonts w:ascii="Palatino Linotype" w:hAnsi="Palatino Linotype"/>
          <w:noProof/>
          <w:color w:val="auto"/>
          <w:sz w:val="22"/>
        </w:rPr>
        <w:t>8</w:t>
      </w:r>
      <w:r w:rsidRPr="00E81907">
        <w:rPr>
          <w:rFonts w:ascii="Palatino Linotype" w:hAnsi="Palatino Linotype"/>
          <w:color w:val="auto"/>
          <w:sz w:val="22"/>
        </w:rPr>
        <w:fldChar w:fldCharType="end"/>
      </w:r>
      <w:r w:rsidRPr="00E81907">
        <w:rPr>
          <w:rFonts w:ascii="Palatino Linotype" w:hAnsi="Palatino Linotype"/>
          <w:color w:val="auto"/>
          <w:sz w:val="22"/>
        </w:rPr>
        <w:t xml:space="preserve">: Resumen de sistemas </w:t>
      </w:r>
      <w:r w:rsidR="00C605A1">
        <w:rPr>
          <w:rFonts w:ascii="Palatino Linotype" w:hAnsi="Palatino Linotype"/>
          <w:color w:val="auto"/>
          <w:sz w:val="22"/>
        </w:rPr>
        <w:t xml:space="preserve">de CGI </w:t>
      </w:r>
      <w:r w:rsidRPr="00E81907">
        <w:rPr>
          <w:rFonts w:ascii="Palatino Linotype" w:hAnsi="Palatino Linotype"/>
          <w:color w:val="auto"/>
          <w:sz w:val="22"/>
        </w:rPr>
        <w:t>en Australia e Inglaterra</w:t>
      </w:r>
      <w:bookmarkEnd w:id="28"/>
    </w:p>
    <w:tbl>
      <w:tblPr>
        <w:tblW w:w="9012" w:type="dxa"/>
        <w:tblInd w:w="55" w:type="dxa"/>
        <w:tblCellMar>
          <w:left w:w="70" w:type="dxa"/>
          <w:right w:w="70" w:type="dxa"/>
        </w:tblCellMar>
        <w:tblLook w:val="04A0" w:firstRow="1" w:lastRow="0" w:firstColumn="1" w:lastColumn="0" w:noHBand="0" w:noVBand="1"/>
      </w:tblPr>
      <w:tblGrid>
        <w:gridCol w:w="2419"/>
        <w:gridCol w:w="3270"/>
        <w:gridCol w:w="3323"/>
      </w:tblGrid>
      <w:tr w:rsidR="00E81907" w:rsidRPr="00E81907" w14:paraId="591B7AF5" w14:textId="77777777" w:rsidTr="00E81907">
        <w:trPr>
          <w:trHeight w:val="305"/>
        </w:trPr>
        <w:tc>
          <w:tcPr>
            <w:tcW w:w="2419"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06458E23" w14:textId="77777777" w:rsidR="00E81907" w:rsidRPr="00E81907" w:rsidRDefault="00E81907" w:rsidP="00E81907">
            <w:pPr>
              <w:rPr>
                <w:rFonts w:ascii="Palatino Linotype" w:eastAsia="Times New Roman" w:hAnsi="Palatino Linotype" w:cs="Times New Roman"/>
                <w:b/>
                <w:bCs/>
                <w:color w:val="FFFFFF"/>
                <w:sz w:val="22"/>
                <w:szCs w:val="22"/>
                <w:lang w:val="es-CL"/>
              </w:rPr>
            </w:pPr>
            <w:r w:rsidRPr="00E81907">
              <w:rPr>
                <w:rFonts w:ascii="Palatino Linotype" w:eastAsia="Times New Roman" w:hAnsi="Palatino Linotype" w:cs="Times New Roman"/>
                <w:b/>
                <w:bCs/>
                <w:color w:val="FFFFFF"/>
                <w:sz w:val="22"/>
                <w:szCs w:val="22"/>
                <w:lang w:val="es-CL"/>
              </w:rPr>
              <w:t>Criterio</w:t>
            </w:r>
          </w:p>
        </w:tc>
        <w:tc>
          <w:tcPr>
            <w:tcW w:w="3270" w:type="dxa"/>
            <w:tcBorders>
              <w:top w:val="single" w:sz="4" w:space="0" w:color="auto"/>
              <w:left w:val="nil"/>
              <w:bottom w:val="single" w:sz="4" w:space="0" w:color="auto"/>
              <w:right w:val="single" w:sz="4" w:space="0" w:color="auto"/>
            </w:tcBorders>
            <w:shd w:val="clear" w:color="000000" w:fill="1F497D"/>
            <w:vAlign w:val="center"/>
            <w:hideMark/>
          </w:tcPr>
          <w:p w14:paraId="356A8A84" w14:textId="77777777" w:rsidR="00E81907" w:rsidRPr="00E81907" w:rsidRDefault="00E81907" w:rsidP="00E81907">
            <w:pPr>
              <w:jc w:val="center"/>
              <w:rPr>
                <w:rFonts w:ascii="Palatino Linotype" w:eastAsia="Times New Roman" w:hAnsi="Palatino Linotype" w:cs="Times New Roman"/>
                <w:b/>
                <w:bCs/>
                <w:color w:val="FFFFFF"/>
                <w:sz w:val="22"/>
                <w:szCs w:val="22"/>
                <w:lang w:val="es-CL"/>
              </w:rPr>
            </w:pPr>
            <w:r w:rsidRPr="00E81907">
              <w:rPr>
                <w:rFonts w:ascii="Palatino Linotype" w:eastAsia="Times New Roman" w:hAnsi="Palatino Linotype" w:cs="Times New Roman"/>
                <w:b/>
                <w:bCs/>
                <w:color w:val="FFFFFF"/>
                <w:sz w:val="22"/>
                <w:szCs w:val="22"/>
                <w:lang w:val="es-CL"/>
              </w:rPr>
              <w:t>Australia</w:t>
            </w:r>
          </w:p>
        </w:tc>
        <w:tc>
          <w:tcPr>
            <w:tcW w:w="3323" w:type="dxa"/>
            <w:tcBorders>
              <w:top w:val="single" w:sz="4" w:space="0" w:color="auto"/>
              <w:left w:val="nil"/>
              <w:bottom w:val="single" w:sz="4" w:space="0" w:color="auto"/>
              <w:right w:val="single" w:sz="4" w:space="0" w:color="auto"/>
            </w:tcBorders>
            <w:shd w:val="clear" w:color="000000" w:fill="1F497D"/>
            <w:vAlign w:val="center"/>
            <w:hideMark/>
          </w:tcPr>
          <w:p w14:paraId="5350AD76" w14:textId="77777777" w:rsidR="00E81907" w:rsidRPr="00E81907" w:rsidRDefault="00E81907" w:rsidP="00E81907">
            <w:pPr>
              <w:jc w:val="center"/>
              <w:rPr>
                <w:rFonts w:ascii="Palatino Linotype" w:eastAsia="Times New Roman" w:hAnsi="Palatino Linotype" w:cs="Times New Roman"/>
                <w:b/>
                <w:bCs/>
                <w:color w:val="FFFFFF"/>
                <w:sz w:val="22"/>
                <w:szCs w:val="22"/>
                <w:lang w:val="es-CL"/>
              </w:rPr>
            </w:pPr>
            <w:r w:rsidRPr="00E81907">
              <w:rPr>
                <w:rFonts w:ascii="Palatino Linotype" w:eastAsia="Times New Roman" w:hAnsi="Palatino Linotype" w:cs="Times New Roman"/>
                <w:b/>
                <w:bCs/>
                <w:color w:val="FFFFFF"/>
                <w:sz w:val="22"/>
                <w:szCs w:val="22"/>
                <w:lang w:val="es-CL"/>
              </w:rPr>
              <w:t>Inglaterra</w:t>
            </w:r>
          </w:p>
        </w:tc>
      </w:tr>
      <w:tr w:rsidR="00E81907" w:rsidRPr="00E81907" w14:paraId="26DA69D2" w14:textId="77777777" w:rsidTr="00E81907">
        <w:trPr>
          <w:trHeight w:val="918"/>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0E48E2D9"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 de estudiantes que optan por CCI</w:t>
            </w:r>
          </w:p>
        </w:tc>
        <w:tc>
          <w:tcPr>
            <w:tcW w:w="3270" w:type="dxa"/>
            <w:tcBorders>
              <w:top w:val="nil"/>
              <w:left w:val="nil"/>
              <w:bottom w:val="single" w:sz="4" w:space="0" w:color="auto"/>
              <w:right w:val="single" w:sz="4" w:space="0" w:color="auto"/>
            </w:tcBorders>
            <w:shd w:val="clear" w:color="auto" w:fill="auto"/>
            <w:vAlign w:val="center"/>
            <w:hideMark/>
          </w:tcPr>
          <w:p w14:paraId="1D334A25"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85%</w:t>
            </w:r>
          </w:p>
        </w:tc>
        <w:tc>
          <w:tcPr>
            <w:tcW w:w="3323" w:type="dxa"/>
            <w:tcBorders>
              <w:top w:val="nil"/>
              <w:left w:val="nil"/>
              <w:bottom w:val="single" w:sz="4" w:space="0" w:color="auto"/>
              <w:right w:val="single" w:sz="4" w:space="0" w:color="auto"/>
            </w:tcBorders>
            <w:shd w:val="clear" w:color="auto" w:fill="auto"/>
            <w:vAlign w:val="center"/>
            <w:hideMark/>
          </w:tcPr>
          <w:p w14:paraId="53B02077"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90%</w:t>
            </w:r>
          </w:p>
        </w:tc>
      </w:tr>
      <w:tr w:rsidR="00E81907" w:rsidRPr="00E81907" w14:paraId="07EB7121" w14:textId="77777777" w:rsidTr="00E81907">
        <w:trPr>
          <w:trHeight w:val="918"/>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241A690B"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 del ingreso que  se destina a pagar el crédito</w:t>
            </w:r>
          </w:p>
        </w:tc>
        <w:tc>
          <w:tcPr>
            <w:tcW w:w="3270" w:type="dxa"/>
            <w:tcBorders>
              <w:top w:val="nil"/>
              <w:left w:val="nil"/>
              <w:bottom w:val="single" w:sz="4" w:space="0" w:color="auto"/>
              <w:right w:val="single" w:sz="4" w:space="0" w:color="auto"/>
            </w:tcBorders>
            <w:shd w:val="clear" w:color="auto" w:fill="auto"/>
            <w:vAlign w:val="center"/>
            <w:hideMark/>
          </w:tcPr>
          <w:p w14:paraId="243C96FA"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8%</w:t>
            </w:r>
          </w:p>
        </w:tc>
        <w:tc>
          <w:tcPr>
            <w:tcW w:w="3323" w:type="dxa"/>
            <w:tcBorders>
              <w:top w:val="nil"/>
              <w:left w:val="nil"/>
              <w:bottom w:val="single" w:sz="4" w:space="0" w:color="auto"/>
              <w:right w:val="single" w:sz="4" w:space="0" w:color="auto"/>
            </w:tcBorders>
            <w:shd w:val="clear" w:color="auto" w:fill="auto"/>
            <w:vAlign w:val="center"/>
            <w:hideMark/>
          </w:tcPr>
          <w:p w14:paraId="4378AF57"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9%</w:t>
            </w:r>
          </w:p>
        </w:tc>
      </w:tr>
      <w:tr w:rsidR="00E81907" w:rsidRPr="00E81907" w14:paraId="34E1E450" w14:textId="77777777" w:rsidTr="00E81907">
        <w:trPr>
          <w:trHeight w:val="1222"/>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6E5FAE44"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Tasa de interés del crédito</w:t>
            </w:r>
          </w:p>
        </w:tc>
        <w:tc>
          <w:tcPr>
            <w:tcW w:w="3270" w:type="dxa"/>
            <w:tcBorders>
              <w:top w:val="nil"/>
              <w:left w:val="nil"/>
              <w:bottom w:val="single" w:sz="4" w:space="0" w:color="auto"/>
              <w:right w:val="single" w:sz="4" w:space="0" w:color="auto"/>
            </w:tcBorders>
            <w:shd w:val="clear" w:color="auto" w:fill="auto"/>
            <w:vAlign w:val="center"/>
            <w:hideMark/>
          </w:tcPr>
          <w:p w14:paraId="67AD5824"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0% real</w:t>
            </w:r>
          </w:p>
        </w:tc>
        <w:tc>
          <w:tcPr>
            <w:tcW w:w="3323" w:type="dxa"/>
            <w:tcBorders>
              <w:top w:val="nil"/>
              <w:left w:val="nil"/>
              <w:bottom w:val="single" w:sz="4" w:space="0" w:color="auto"/>
              <w:right w:val="single" w:sz="4" w:space="0" w:color="auto"/>
            </w:tcBorders>
            <w:shd w:val="clear" w:color="auto" w:fill="auto"/>
            <w:vAlign w:val="center"/>
            <w:hideMark/>
          </w:tcPr>
          <w:p w14:paraId="001B5D96"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Entre 1,5% y 3% real, dependiendo de la fecha de suscripción de la deuda.</w:t>
            </w:r>
          </w:p>
        </w:tc>
      </w:tr>
      <w:tr w:rsidR="00E81907" w:rsidRPr="00E81907" w14:paraId="148AA74C" w14:textId="77777777" w:rsidTr="00E81907">
        <w:trPr>
          <w:trHeight w:val="918"/>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590099F8"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Ingreso mínimo anual para pagar crédito</w:t>
            </w:r>
          </w:p>
        </w:tc>
        <w:tc>
          <w:tcPr>
            <w:tcW w:w="3270" w:type="dxa"/>
            <w:tcBorders>
              <w:top w:val="nil"/>
              <w:left w:val="nil"/>
              <w:bottom w:val="single" w:sz="4" w:space="0" w:color="auto"/>
              <w:right w:val="single" w:sz="4" w:space="0" w:color="auto"/>
            </w:tcBorders>
            <w:shd w:val="clear" w:color="auto" w:fill="auto"/>
            <w:vAlign w:val="center"/>
            <w:hideMark/>
          </w:tcPr>
          <w:p w14:paraId="071F9D35"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42.000 USD</w:t>
            </w:r>
          </w:p>
        </w:tc>
        <w:tc>
          <w:tcPr>
            <w:tcW w:w="3323" w:type="dxa"/>
            <w:tcBorders>
              <w:top w:val="nil"/>
              <w:left w:val="nil"/>
              <w:bottom w:val="single" w:sz="4" w:space="0" w:color="auto"/>
              <w:right w:val="single" w:sz="4" w:space="0" w:color="auto"/>
            </w:tcBorders>
            <w:shd w:val="clear" w:color="auto" w:fill="auto"/>
            <w:vAlign w:val="center"/>
            <w:hideMark/>
          </w:tcPr>
          <w:p w14:paraId="62DEB31F" w14:textId="6EFF49C4" w:rsidR="00E81907" w:rsidRPr="00E81907" w:rsidRDefault="00E81907" w:rsidP="005240A2">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2</w:t>
            </w:r>
            <w:r w:rsidR="005240A2">
              <w:rPr>
                <w:rFonts w:ascii="Palatino Linotype" w:eastAsia="Times New Roman" w:hAnsi="Palatino Linotype" w:cs="Times New Roman"/>
                <w:color w:val="000000"/>
                <w:sz w:val="22"/>
                <w:szCs w:val="22"/>
                <w:lang w:val="es-CL"/>
              </w:rPr>
              <w:t>7</w:t>
            </w:r>
            <w:r w:rsidRPr="00E81907">
              <w:rPr>
                <w:rFonts w:ascii="Palatino Linotype" w:eastAsia="Times New Roman" w:hAnsi="Palatino Linotype" w:cs="Times New Roman"/>
                <w:color w:val="000000"/>
                <w:sz w:val="22"/>
                <w:szCs w:val="22"/>
                <w:lang w:val="es-CL"/>
              </w:rPr>
              <w:t>.000 USD</w:t>
            </w:r>
          </w:p>
        </w:tc>
      </w:tr>
      <w:tr w:rsidR="00E81907" w:rsidRPr="00E81907" w14:paraId="59F4F063" w14:textId="77777777" w:rsidTr="00E81907">
        <w:trPr>
          <w:trHeight w:val="918"/>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2640CBD4"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Duración promedio de la deuda</w:t>
            </w:r>
          </w:p>
        </w:tc>
        <w:tc>
          <w:tcPr>
            <w:tcW w:w="3270" w:type="dxa"/>
            <w:tcBorders>
              <w:top w:val="nil"/>
              <w:left w:val="nil"/>
              <w:bottom w:val="single" w:sz="4" w:space="0" w:color="auto"/>
              <w:right w:val="single" w:sz="4" w:space="0" w:color="auto"/>
            </w:tcBorders>
            <w:shd w:val="clear" w:color="auto" w:fill="auto"/>
            <w:vAlign w:val="center"/>
            <w:hideMark/>
          </w:tcPr>
          <w:p w14:paraId="1ED846DB"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8 años</w:t>
            </w:r>
          </w:p>
        </w:tc>
        <w:tc>
          <w:tcPr>
            <w:tcW w:w="3323" w:type="dxa"/>
            <w:tcBorders>
              <w:top w:val="nil"/>
              <w:left w:val="nil"/>
              <w:bottom w:val="single" w:sz="4" w:space="0" w:color="auto"/>
              <w:right w:val="single" w:sz="4" w:space="0" w:color="auto"/>
            </w:tcBorders>
            <w:shd w:val="clear" w:color="auto" w:fill="auto"/>
            <w:vAlign w:val="center"/>
            <w:hideMark/>
          </w:tcPr>
          <w:p w14:paraId="6A22F3EE"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27 años</w:t>
            </w:r>
          </w:p>
        </w:tc>
      </w:tr>
      <w:tr w:rsidR="00E81907" w:rsidRPr="00E81907" w14:paraId="281AB337" w14:textId="77777777" w:rsidTr="00E81907">
        <w:trPr>
          <w:trHeight w:val="611"/>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24B6FAA1"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¿Expira la deuda?</w:t>
            </w:r>
          </w:p>
        </w:tc>
        <w:tc>
          <w:tcPr>
            <w:tcW w:w="3270" w:type="dxa"/>
            <w:tcBorders>
              <w:top w:val="nil"/>
              <w:left w:val="nil"/>
              <w:bottom w:val="single" w:sz="4" w:space="0" w:color="auto"/>
              <w:right w:val="single" w:sz="4" w:space="0" w:color="auto"/>
            </w:tcBorders>
            <w:shd w:val="clear" w:color="auto" w:fill="auto"/>
            <w:vAlign w:val="center"/>
            <w:hideMark/>
          </w:tcPr>
          <w:p w14:paraId="1AB9C536"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No</w:t>
            </w:r>
          </w:p>
        </w:tc>
        <w:tc>
          <w:tcPr>
            <w:tcW w:w="3323" w:type="dxa"/>
            <w:tcBorders>
              <w:top w:val="nil"/>
              <w:left w:val="nil"/>
              <w:bottom w:val="single" w:sz="4" w:space="0" w:color="auto"/>
              <w:right w:val="single" w:sz="4" w:space="0" w:color="auto"/>
            </w:tcBorders>
            <w:shd w:val="clear" w:color="auto" w:fill="auto"/>
            <w:vAlign w:val="center"/>
            <w:hideMark/>
          </w:tcPr>
          <w:p w14:paraId="63CF7079"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Sí, luego de 30 años pagando.</w:t>
            </w:r>
          </w:p>
        </w:tc>
      </w:tr>
      <w:tr w:rsidR="00E81907" w:rsidRPr="00E81907" w14:paraId="28ECEDC7" w14:textId="77777777" w:rsidTr="00E81907">
        <w:trPr>
          <w:trHeight w:val="611"/>
        </w:trPr>
        <w:tc>
          <w:tcPr>
            <w:tcW w:w="2419" w:type="dxa"/>
            <w:tcBorders>
              <w:top w:val="nil"/>
              <w:left w:val="single" w:sz="4" w:space="0" w:color="auto"/>
              <w:bottom w:val="single" w:sz="4" w:space="0" w:color="auto"/>
              <w:right w:val="single" w:sz="4" w:space="0" w:color="auto"/>
            </w:tcBorders>
            <w:shd w:val="clear" w:color="auto" w:fill="auto"/>
            <w:vAlign w:val="center"/>
            <w:hideMark/>
          </w:tcPr>
          <w:p w14:paraId="235A15FB" w14:textId="77777777" w:rsidR="00E81907" w:rsidRPr="00E81907" w:rsidRDefault="00E81907" w:rsidP="00E81907">
            <w:pP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Arancel máximo anual</w:t>
            </w:r>
          </w:p>
        </w:tc>
        <w:tc>
          <w:tcPr>
            <w:tcW w:w="3270" w:type="dxa"/>
            <w:tcBorders>
              <w:top w:val="nil"/>
              <w:left w:val="nil"/>
              <w:bottom w:val="single" w:sz="4" w:space="0" w:color="auto"/>
              <w:right w:val="single" w:sz="4" w:space="0" w:color="auto"/>
            </w:tcBorders>
            <w:shd w:val="clear" w:color="auto" w:fill="auto"/>
            <w:vAlign w:val="center"/>
            <w:hideMark/>
          </w:tcPr>
          <w:p w14:paraId="5209FF38"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7.000 USD</w:t>
            </w:r>
          </w:p>
        </w:tc>
        <w:tc>
          <w:tcPr>
            <w:tcW w:w="3323" w:type="dxa"/>
            <w:tcBorders>
              <w:top w:val="nil"/>
              <w:left w:val="nil"/>
              <w:bottom w:val="single" w:sz="4" w:space="0" w:color="auto"/>
              <w:right w:val="single" w:sz="4" w:space="0" w:color="auto"/>
            </w:tcBorders>
            <w:shd w:val="clear" w:color="auto" w:fill="auto"/>
            <w:vAlign w:val="center"/>
            <w:hideMark/>
          </w:tcPr>
          <w:p w14:paraId="6490FAA8" w14:textId="77777777" w:rsidR="00E81907" w:rsidRPr="00E81907" w:rsidRDefault="00E81907" w:rsidP="00E81907">
            <w:pPr>
              <w:jc w:val="center"/>
              <w:rPr>
                <w:rFonts w:ascii="Palatino Linotype" w:eastAsia="Times New Roman" w:hAnsi="Palatino Linotype" w:cs="Times New Roman"/>
                <w:color w:val="000000"/>
                <w:sz w:val="22"/>
                <w:szCs w:val="22"/>
                <w:lang w:val="es-CL"/>
              </w:rPr>
            </w:pPr>
            <w:r w:rsidRPr="00E81907">
              <w:rPr>
                <w:rFonts w:ascii="Palatino Linotype" w:eastAsia="Times New Roman" w:hAnsi="Palatino Linotype" w:cs="Times New Roman"/>
                <w:color w:val="000000"/>
                <w:sz w:val="22"/>
                <w:szCs w:val="22"/>
                <w:lang w:val="es-CL"/>
              </w:rPr>
              <w:t>11.000 USD</w:t>
            </w:r>
          </w:p>
        </w:tc>
      </w:tr>
    </w:tbl>
    <w:p w14:paraId="018C9C61" w14:textId="7C99F723" w:rsidR="00E81907" w:rsidRPr="00E81907" w:rsidRDefault="00E81907" w:rsidP="0043145E">
      <w:pPr>
        <w:jc w:val="both"/>
        <w:rPr>
          <w:rFonts w:ascii="Palatino Linotype" w:hAnsi="Palatino Linotype"/>
          <w:sz w:val="20"/>
        </w:rPr>
      </w:pPr>
      <w:r w:rsidRPr="00E81907">
        <w:rPr>
          <w:rFonts w:ascii="Palatino Linotype" w:hAnsi="Palatino Linotype"/>
          <w:sz w:val="20"/>
        </w:rPr>
        <w:t>Fuente: Elaboración propia.</w:t>
      </w:r>
    </w:p>
    <w:p w14:paraId="55F149A2" w14:textId="77777777" w:rsidR="00890E76" w:rsidRPr="0043145E" w:rsidRDefault="00890E76" w:rsidP="0043145E">
      <w:pPr>
        <w:jc w:val="both"/>
        <w:rPr>
          <w:rFonts w:ascii="Palatino Linotype" w:hAnsi="Palatino Linotype"/>
        </w:rPr>
      </w:pPr>
    </w:p>
    <w:p w14:paraId="5E79EFBF" w14:textId="272B8BF7" w:rsidR="00441961" w:rsidRDefault="00001387" w:rsidP="00441961">
      <w:r>
        <w:tab/>
      </w:r>
    </w:p>
    <w:p w14:paraId="59A6695C" w14:textId="6478750C" w:rsidR="00BF6955" w:rsidRDefault="005240A2" w:rsidP="005240A2">
      <w:pPr>
        <w:pStyle w:val="Ttulo3"/>
      </w:pPr>
      <w:bookmarkStart w:id="29" w:name="_Toc391553457"/>
      <w:r>
        <w:rPr>
          <w:rFonts w:ascii="Palatino Linotype" w:hAnsi="Palatino Linotype"/>
          <w:color w:val="auto"/>
          <w:sz w:val="26"/>
          <w:szCs w:val="26"/>
          <w:lang w:val="es-ES"/>
        </w:rPr>
        <w:t>ii</w:t>
      </w:r>
      <w:r>
        <w:rPr>
          <w:rFonts w:ascii="Palatino Linotype" w:hAnsi="Palatino Linotype"/>
          <w:vanish/>
          <w:color w:val="auto"/>
          <w:sz w:val="26"/>
          <w:szCs w:val="26"/>
          <w:lang w:val="es-ES"/>
        </w:rPr>
        <w:t>estanciamiento: estudiantes</w:t>
      </w:r>
      <w:r>
        <w:rPr>
          <w:rFonts w:ascii="Palatino Linotype" w:hAnsi="Palatino Linotype"/>
          <w:vanish/>
          <w:color w:val="auto"/>
          <w:sz w:val="26"/>
          <w:szCs w:val="26"/>
          <w:lang w:val="es-ES"/>
        </w:rPr>
        <w:cr/>
        <w:t>(PSU)rogado en febrero de 2018, a tracporte Fiscal Indirecto. uch)oucacifesionales y 59 mil a Centro</w:t>
      </w:r>
      <w:r w:rsidRPr="005D2F79">
        <w:rPr>
          <w:rFonts w:ascii="Palatino Linotype" w:hAnsi="Palatino Linotype"/>
          <w:color w:val="auto"/>
          <w:sz w:val="26"/>
          <w:szCs w:val="26"/>
          <w:lang w:val="es-ES"/>
        </w:rPr>
        <w:t xml:space="preserve">) </w:t>
      </w:r>
      <w:r>
        <w:rPr>
          <w:rFonts w:ascii="Palatino Linotype" w:hAnsi="Palatino Linotype"/>
          <w:color w:val="auto"/>
          <w:sz w:val="26"/>
          <w:szCs w:val="26"/>
          <w:lang w:val="es-ES"/>
        </w:rPr>
        <w:t>Eficiencia en su cobro</w:t>
      </w:r>
      <w:bookmarkEnd w:id="29"/>
    </w:p>
    <w:p w14:paraId="6D83159E" w14:textId="77777777" w:rsidR="005240A2" w:rsidRPr="00BF6955" w:rsidRDefault="005240A2" w:rsidP="00BF6955"/>
    <w:p w14:paraId="7C2F49F6" w14:textId="720D3E00" w:rsidR="005240A2" w:rsidRDefault="005240A2" w:rsidP="005240A2">
      <w:pPr>
        <w:jc w:val="both"/>
        <w:rPr>
          <w:rFonts w:ascii="Palatino Linotype" w:eastAsia="Times New Roman" w:hAnsi="Palatino Linotype"/>
        </w:rPr>
      </w:pPr>
      <w:r>
        <w:rPr>
          <w:rFonts w:ascii="Palatino Linotype" w:eastAsia="Times New Roman" w:hAnsi="Palatino Linotype"/>
        </w:rPr>
        <w:t>Un punto clave de en la implementación de los CGI es su eficiencia en el cobro. Stiglitz (2014)</w:t>
      </w:r>
      <w:r w:rsidR="0061672D">
        <w:rPr>
          <w:rStyle w:val="Refdenotaalpie"/>
          <w:rFonts w:ascii="Palatino Linotype" w:eastAsia="Times New Roman" w:hAnsi="Palatino Linotype"/>
        </w:rPr>
        <w:footnoteReference w:id="24"/>
      </w:r>
      <w:r>
        <w:rPr>
          <w:rFonts w:ascii="Palatino Linotype" w:eastAsia="Times New Roman" w:hAnsi="Palatino Linotype"/>
        </w:rPr>
        <w:t xml:space="preserve"> llamó a esta propiedad de los </w:t>
      </w:r>
      <w:r w:rsidR="00AE54E0">
        <w:rPr>
          <w:rFonts w:ascii="Palatino Linotype" w:eastAsia="Times New Roman" w:hAnsi="Palatino Linotype"/>
        </w:rPr>
        <w:t>CGI “eficiencia transaccional”. Tanto en Australia como en Inglaterra se ha documentado un buen funcionamiento del sistema de cobros, que ha permitido que efectivamente los recursos lleguen a las arcas fiscales</w:t>
      </w:r>
      <w:r w:rsidR="00A51476">
        <w:rPr>
          <w:rFonts w:ascii="Palatino Linotype" w:eastAsia="Times New Roman" w:hAnsi="Palatino Linotype"/>
        </w:rPr>
        <w:t xml:space="preserve"> (Chapman</w:t>
      </w:r>
      <w:r w:rsidR="00E61362">
        <w:rPr>
          <w:rFonts w:ascii="Palatino Linotype" w:eastAsia="Times New Roman" w:hAnsi="Palatino Linotype"/>
        </w:rPr>
        <w:t xml:space="preserve"> et al.</w:t>
      </w:r>
      <w:r w:rsidR="00A51476">
        <w:rPr>
          <w:rFonts w:ascii="Palatino Linotype" w:eastAsia="Times New Roman" w:hAnsi="Palatino Linotype"/>
        </w:rPr>
        <w:t>, 2006</w:t>
      </w:r>
      <w:r w:rsidR="00E61362">
        <w:rPr>
          <w:rStyle w:val="Refdenotaalpie"/>
          <w:rFonts w:ascii="Palatino Linotype" w:eastAsia="Times New Roman" w:hAnsi="Palatino Linotype"/>
        </w:rPr>
        <w:footnoteReference w:id="25"/>
      </w:r>
      <w:r w:rsidR="00A51476">
        <w:rPr>
          <w:rFonts w:ascii="Palatino Linotype" w:eastAsia="Times New Roman" w:hAnsi="Palatino Linotype"/>
        </w:rPr>
        <w:t>. Hackett, 2014</w:t>
      </w:r>
      <w:r w:rsidR="00E61362">
        <w:rPr>
          <w:rStyle w:val="Refdenotaalpie"/>
          <w:rFonts w:ascii="Palatino Linotype" w:eastAsia="Times New Roman" w:hAnsi="Palatino Linotype"/>
        </w:rPr>
        <w:footnoteReference w:id="26"/>
      </w:r>
      <w:r w:rsidR="00A51476">
        <w:rPr>
          <w:rFonts w:ascii="Palatino Linotype" w:eastAsia="Times New Roman" w:hAnsi="Palatino Linotype"/>
        </w:rPr>
        <w:t>)</w:t>
      </w:r>
      <w:r w:rsidR="00AE54E0">
        <w:rPr>
          <w:rFonts w:ascii="Palatino Linotype" w:eastAsia="Times New Roman" w:hAnsi="Palatino Linotype"/>
        </w:rPr>
        <w:t>.</w:t>
      </w:r>
      <w:r w:rsidR="007815CE">
        <w:rPr>
          <w:rFonts w:ascii="Palatino Linotype" w:eastAsia="Times New Roman" w:hAnsi="Palatino Linotype"/>
        </w:rPr>
        <w:t xml:space="preserve"> Para que lo anterior ocurra, </w:t>
      </w:r>
      <w:r w:rsidR="007815CE">
        <w:rPr>
          <w:rFonts w:ascii="Palatino Linotype" w:eastAsia="Times New Roman" w:hAnsi="Palatino Linotype"/>
        </w:rPr>
        <w:lastRenderedPageBreak/>
        <w:t xml:space="preserve">tienen que haber coordinación e información fluida entre el ente cobrador (la Administradora), el pagador (el trabajador </w:t>
      </w:r>
      <w:r w:rsidR="00E61362">
        <w:rPr>
          <w:rFonts w:ascii="Palatino Linotype" w:eastAsia="Times New Roman" w:hAnsi="Palatino Linotype"/>
        </w:rPr>
        <w:t>o</w:t>
      </w:r>
      <w:r w:rsidR="007815CE">
        <w:rPr>
          <w:rFonts w:ascii="Palatino Linotype" w:eastAsia="Times New Roman" w:hAnsi="Palatino Linotype"/>
        </w:rPr>
        <w:t xml:space="preserve"> el empleador, en el caso de un trabajador dependiente) y las instituciones reguladoras (el Ministerio de E</w:t>
      </w:r>
      <w:r w:rsidR="00E61362">
        <w:rPr>
          <w:rFonts w:ascii="Palatino Linotype" w:eastAsia="Times New Roman" w:hAnsi="Palatino Linotype"/>
        </w:rPr>
        <w:t>ducación</w:t>
      </w:r>
      <w:r w:rsidR="007815CE">
        <w:rPr>
          <w:rFonts w:ascii="Palatino Linotype" w:eastAsia="Times New Roman" w:hAnsi="Palatino Linotype"/>
        </w:rPr>
        <w:t xml:space="preserve">, Inspección del Trabajo, entre otros). </w:t>
      </w:r>
    </w:p>
    <w:p w14:paraId="3621052A" w14:textId="5499B444" w:rsidR="007815CE" w:rsidRDefault="007815CE" w:rsidP="005240A2">
      <w:pPr>
        <w:jc w:val="both"/>
        <w:rPr>
          <w:rFonts w:ascii="Palatino Linotype" w:eastAsia="Times New Roman" w:hAnsi="Palatino Linotype"/>
        </w:rPr>
      </w:pPr>
      <w:r>
        <w:rPr>
          <w:rFonts w:ascii="Palatino Linotype" w:eastAsia="Times New Roman" w:hAnsi="Palatino Linotype"/>
        </w:rPr>
        <w:t>La idea es que el crédito sea fácil de pagar y cuente con la menor cantidad de trabas posibles, en un contexto de información amplia y pública para todos los interesados.</w:t>
      </w:r>
    </w:p>
    <w:p w14:paraId="0F4FF582" w14:textId="77777777" w:rsidR="00BB328F" w:rsidRDefault="00BB328F" w:rsidP="005240A2">
      <w:pPr>
        <w:jc w:val="both"/>
        <w:rPr>
          <w:rFonts w:ascii="Palatino Linotype" w:eastAsia="Times New Roman" w:hAnsi="Palatino Linotype"/>
        </w:rPr>
      </w:pPr>
    </w:p>
    <w:p w14:paraId="460AB820" w14:textId="48C02B75" w:rsidR="00BB328F" w:rsidRDefault="00BB328F" w:rsidP="00BB328F">
      <w:pPr>
        <w:pStyle w:val="Ttulo2"/>
        <w:rPr>
          <w:rFonts w:ascii="Palatino Linotype" w:hAnsi="Palatino Linotype"/>
          <w:b w:val="0"/>
          <w:color w:val="auto"/>
          <w:sz w:val="28"/>
        </w:rPr>
      </w:pPr>
      <w:bookmarkStart w:id="30" w:name="_Toc391553458"/>
      <w:r>
        <w:rPr>
          <w:rFonts w:ascii="Palatino Linotype" w:hAnsi="Palatino Linotype"/>
          <w:b w:val="0"/>
          <w:color w:val="auto"/>
          <w:sz w:val="28"/>
        </w:rPr>
        <w:t>C</w:t>
      </w:r>
      <w:r w:rsidRPr="00175DC1">
        <w:rPr>
          <w:rFonts w:ascii="Palatino Linotype" w:hAnsi="Palatino Linotype"/>
          <w:b w:val="0"/>
          <w:color w:val="auto"/>
          <w:sz w:val="28"/>
        </w:rPr>
        <w:t xml:space="preserve">) </w:t>
      </w:r>
      <w:r>
        <w:rPr>
          <w:rFonts w:ascii="Palatino Linotype" w:hAnsi="Palatino Linotype"/>
          <w:b w:val="0"/>
          <w:color w:val="auto"/>
          <w:sz w:val="28"/>
        </w:rPr>
        <w:t>Diseño de un sistema de CCI</w:t>
      </w:r>
      <w:bookmarkEnd w:id="30"/>
    </w:p>
    <w:p w14:paraId="0F38BE72" w14:textId="77777777" w:rsidR="00BB328F" w:rsidRPr="00BB328F" w:rsidRDefault="00BB328F" w:rsidP="00BB328F"/>
    <w:p w14:paraId="244690DF" w14:textId="1BD820E2" w:rsidR="00BB328F" w:rsidRDefault="00BB328F" w:rsidP="00BB328F">
      <w:pPr>
        <w:jc w:val="both"/>
        <w:rPr>
          <w:rFonts w:ascii="Palatino Linotype" w:hAnsi="Palatino Linotype"/>
        </w:rPr>
      </w:pPr>
      <w:r>
        <w:rPr>
          <w:rFonts w:ascii="Palatino Linotype" w:hAnsi="Palatino Linotype"/>
        </w:rPr>
        <w:t>De acuerdo a la teoría económica y a la evidencia empírica mostrada, en el diseño de un sistema de CCI, se deben tomar en cuenta los siguientes elementos</w:t>
      </w:r>
      <w:r>
        <w:rPr>
          <w:rStyle w:val="Refdenotaalpie"/>
          <w:rFonts w:ascii="Palatino Linotype" w:hAnsi="Palatino Linotype"/>
        </w:rPr>
        <w:footnoteReference w:id="27"/>
      </w:r>
      <w:r>
        <w:rPr>
          <w:rFonts w:ascii="Palatino Linotype" w:hAnsi="Palatino Linotype"/>
        </w:rPr>
        <w:t>:</w:t>
      </w:r>
    </w:p>
    <w:p w14:paraId="42308E68" w14:textId="77777777" w:rsidR="00BB328F" w:rsidRPr="006013CB" w:rsidRDefault="00BB328F" w:rsidP="00BB328F">
      <w:pPr>
        <w:pStyle w:val="Prrafodelista"/>
        <w:numPr>
          <w:ilvl w:val="0"/>
          <w:numId w:val="20"/>
        </w:numPr>
        <w:jc w:val="both"/>
        <w:rPr>
          <w:rFonts w:ascii="Palatino Linotype" w:hAnsi="Palatino Linotype"/>
        </w:rPr>
      </w:pPr>
      <w:r>
        <w:rPr>
          <w:rFonts w:ascii="Palatino Linotype" w:hAnsi="Palatino Linotype"/>
        </w:rPr>
        <w:t>Porcentaje del ingreso destinado al pago del crédito.</w:t>
      </w:r>
    </w:p>
    <w:p w14:paraId="5BD40BFD" w14:textId="77777777" w:rsidR="00BB328F" w:rsidRDefault="00BB328F" w:rsidP="00BB328F">
      <w:pPr>
        <w:pStyle w:val="Prrafodelista"/>
        <w:numPr>
          <w:ilvl w:val="0"/>
          <w:numId w:val="20"/>
        </w:numPr>
        <w:jc w:val="both"/>
        <w:rPr>
          <w:rFonts w:ascii="Palatino Linotype" w:hAnsi="Palatino Linotype"/>
        </w:rPr>
      </w:pPr>
      <w:r>
        <w:rPr>
          <w:rFonts w:ascii="Palatino Linotype" w:hAnsi="Palatino Linotype"/>
        </w:rPr>
        <w:t>Umbral mínimo del ingreso a partir del cual se activa el pago de la deuda.</w:t>
      </w:r>
    </w:p>
    <w:p w14:paraId="70DCCB70" w14:textId="77777777" w:rsidR="00BB328F" w:rsidRDefault="00BB328F" w:rsidP="00BB328F">
      <w:pPr>
        <w:pStyle w:val="Prrafodelista"/>
        <w:numPr>
          <w:ilvl w:val="0"/>
          <w:numId w:val="20"/>
        </w:numPr>
        <w:jc w:val="both"/>
        <w:rPr>
          <w:rFonts w:ascii="Palatino Linotype" w:hAnsi="Palatino Linotype"/>
        </w:rPr>
      </w:pPr>
      <w:r>
        <w:rPr>
          <w:rFonts w:ascii="Palatino Linotype" w:hAnsi="Palatino Linotype"/>
        </w:rPr>
        <w:t>Tasa de interés del crédito.</w:t>
      </w:r>
    </w:p>
    <w:p w14:paraId="6175826B" w14:textId="77777777" w:rsidR="00BB328F" w:rsidRDefault="00BB328F" w:rsidP="00BB328F">
      <w:pPr>
        <w:pStyle w:val="Prrafodelista"/>
        <w:numPr>
          <w:ilvl w:val="0"/>
          <w:numId w:val="20"/>
        </w:numPr>
        <w:jc w:val="both"/>
        <w:rPr>
          <w:rFonts w:ascii="Palatino Linotype" w:hAnsi="Palatino Linotype"/>
        </w:rPr>
      </w:pPr>
      <w:r>
        <w:rPr>
          <w:rFonts w:ascii="Palatino Linotype" w:hAnsi="Palatino Linotype"/>
        </w:rPr>
        <w:t>Límites mínimos y máximos para el monto total de la deuda.</w:t>
      </w:r>
    </w:p>
    <w:p w14:paraId="74193116" w14:textId="77777777" w:rsidR="00BB328F" w:rsidRDefault="00BB328F" w:rsidP="00BB328F">
      <w:pPr>
        <w:pStyle w:val="Prrafodelista"/>
        <w:numPr>
          <w:ilvl w:val="0"/>
          <w:numId w:val="20"/>
        </w:numPr>
        <w:jc w:val="both"/>
        <w:rPr>
          <w:rFonts w:ascii="Palatino Linotype" w:hAnsi="Palatino Linotype"/>
        </w:rPr>
      </w:pPr>
      <w:r>
        <w:rPr>
          <w:rFonts w:ascii="Palatino Linotype" w:hAnsi="Palatino Linotype"/>
        </w:rPr>
        <w:t>Plazo de expiración de la deuda.</w:t>
      </w:r>
    </w:p>
    <w:p w14:paraId="057D209E" w14:textId="77777777" w:rsidR="00BB328F" w:rsidRDefault="00BB328F" w:rsidP="00BB328F">
      <w:pPr>
        <w:pStyle w:val="Prrafodelista"/>
        <w:numPr>
          <w:ilvl w:val="0"/>
          <w:numId w:val="20"/>
        </w:numPr>
        <w:jc w:val="both"/>
        <w:rPr>
          <w:rFonts w:ascii="Palatino Linotype" w:hAnsi="Palatino Linotype"/>
        </w:rPr>
      </w:pPr>
      <w:r>
        <w:rPr>
          <w:rFonts w:ascii="Palatino Linotype" w:hAnsi="Palatino Linotype"/>
        </w:rPr>
        <w:t>Condiciones para el prepago de la deuda.</w:t>
      </w:r>
    </w:p>
    <w:p w14:paraId="2C58F82F" w14:textId="77777777" w:rsidR="00BB328F" w:rsidRPr="00AA7024" w:rsidRDefault="00BB328F" w:rsidP="00BB328F">
      <w:pPr>
        <w:pStyle w:val="Prrafodelista"/>
        <w:numPr>
          <w:ilvl w:val="0"/>
          <w:numId w:val="20"/>
        </w:numPr>
        <w:jc w:val="both"/>
        <w:rPr>
          <w:rFonts w:ascii="Palatino Linotype" w:hAnsi="Palatino Linotype"/>
        </w:rPr>
      </w:pPr>
      <w:r>
        <w:rPr>
          <w:rFonts w:ascii="Palatino Linotype" w:hAnsi="Palatino Linotype"/>
        </w:rPr>
        <w:t>Mecanismo sólido para el cobro de la deuda.</w:t>
      </w:r>
    </w:p>
    <w:p w14:paraId="6C35F20C" w14:textId="77777777" w:rsidR="00BB328F" w:rsidRDefault="00BB328F" w:rsidP="00BB328F">
      <w:pPr>
        <w:jc w:val="both"/>
        <w:rPr>
          <w:rFonts w:ascii="Palatino Linotype" w:hAnsi="Palatino Linotype"/>
          <w:lang w:val="es-ES"/>
        </w:rPr>
      </w:pPr>
    </w:p>
    <w:p w14:paraId="6C93A16E" w14:textId="77777777" w:rsidR="00BB328F" w:rsidRDefault="00BB328F" w:rsidP="00BB328F">
      <w:pPr>
        <w:jc w:val="both"/>
        <w:rPr>
          <w:rFonts w:ascii="Palatino Linotype" w:hAnsi="Palatino Linotype"/>
          <w:lang w:val="es-ES"/>
        </w:rPr>
      </w:pPr>
      <w:r>
        <w:rPr>
          <w:rFonts w:ascii="Palatino Linotype" w:hAnsi="Palatino Linotype"/>
          <w:lang w:val="es-ES"/>
        </w:rPr>
        <w:t>Los créditos para estudiantes de educación superior tienen múltiples objetivos, los que incluyen suavizar el consumo para sus beneficiarios y promover la movilidad social. El diseño particular de cada uno de los elementos mencionados anteriormente dependerá del objetivo de la autoridad.</w:t>
      </w:r>
    </w:p>
    <w:p w14:paraId="2CDC0515" w14:textId="77777777" w:rsidR="00BF0D72" w:rsidRDefault="00BF0D72" w:rsidP="00DD60FA">
      <w:pPr>
        <w:pStyle w:val="Ttulo1"/>
        <w:rPr>
          <w:rFonts w:ascii="Palatino Linotype" w:hAnsi="Palatino Linotype"/>
          <w:b w:val="0"/>
          <w:color w:val="auto"/>
        </w:rPr>
      </w:pPr>
      <w:r>
        <w:rPr>
          <w:rFonts w:ascii="Palatino Linotype" w:hAnsi="Palatino Linotype"/>
          <w:b w:val="0"/>
          <w:color w:val="auto"/>
        </w:rPr>
        <w:br w:type="page"/>
      </w:r>
    </w:p>
    <w:p w14:paraId="66FE6635" w14:textId="5D47F703" w:rsidR="00DD60FA" w:rsidRDefault="00DD60FA" w:rsidP="00DD60FA">
      <w:pPr>
        <w:pStyle w:val="Ttulo1"/>
        <w:rPr>
          <w:rFonts w:ascii="Palatino Linotype" w:hAnsi="Palatino Linotype"/>
          <w:b w:val="0"/>
          <w:color w:val="auto"/>
        </w:rPr>
      </w:pPr>
      <w:bookmarkStart w:id="31" w:name="_Toc391553459"/>
      <w:r w:rsidRPr="00382107">
        <w:rPr>
          <w:rFonts w:ascii="Palatino Linotype" w:hAnsi="Palatino Linotype"/>
          <w:b w:val="0"/>
          <w:color w:val="auto"/>
        </w:rPr>
        <w:lastRenderedPageBreak/>
        <w:t xml:space="preserve">Sección </w:t>
      </w:r>
      <w:r>
        <w:rPr>
          <w:rFonts w:ascii="Palatino Linotype" w:hAnsi="Palatino Linotype"/>
          <w:b w:val="0"/>
          <w:color w:val="auto"/>
        </w:rPr>
        <w:t>I</w:t>
      </w:r>
      <w:r w:rsidRPr="00382107">
        <w:rPr>
          <w:rFonts w:ascii="Palatino Linotype" w:hAnsi="Palatino Linotype"/>
          <w:b w:val="0"/>
          <w:color w:val="auto"/>
        </w:rPr>
        <w:t>I</w:t>
      </w:r>
      <w:r>
        <w:rPr>
          <w:rFonts w:ascii="Palatino Linotype" w:hAnsi="Palatino Linotype"/>
          <w:b w:val="0"/>
          <w:color w:val="auto"/>
        </w:rPr>
        <w:t>I</w:t>
      </w:r>
      <w:r w:rsidRPr="00382107">
        <w:rPr>
          <w:rFonts w:ascii="Palatino Linotype" w:hAnsi="Palatino Linotype"/>
          <w:b w:val="0"/>
          <w:color w:val="auto"/>
        </w:rPr>
        <w:t xml:space="preserve">: </w:t>
      </w:r>
      <w:r w:rsidR="00B05E92">
        <w:rPr>
          <w:rFonts w:ascii="Palatino Linotype" w:hAnsi="Palatino Linotype"/>
          <w:b w:val="0"/>
          <w:color w:val="auto"/>
        </w:rPr>
        <w:t>Indicaciones finales</w:t>
      </w:r>
      <w:bookmarkEnd w:id="31"/>
    </w:p>
    <w:p w14:paraId="5E9E71FE" w14:textId="77777777" w:rsidR="00FF3F51" w:rsidRDefault="00FF3F51" w:rsidP="00FF3F51"/>
    <w:p w14:paraId="46454520" w14:textId="15D6383F" w:rsidR="00E45E11" w:rsidRDefault="00BB328F" w:rsidP="00E45E11">
      <w:pPr>
        <w:pStyle w:val="Ttulo2"/>
        <w:rPr>
          <w:rFonts w:ascii="Palatino Linotype" w:hAnsi="Palatino Linotype"/>
          <w:b w:val="0"/>
          <w:color w:val="auto"/>
          <w:sz w:val="28"/>
        </w:rPr>
      </w:pPr>
      <w:bookmarkStart w:id="32" w:name="_Toc391553460"/>
      <w:r>
        <w:rPr>
          <w:rFonts w:ascii="Palatino Linotype" w:hAnsi="Palatino Linotype"/>
          <w:b w:val="0"/>
          <w:color w:val="auto"/>
          <w:sz w:val="28"/>
        </w:rPr>
        <w:t>A</w:t>
      </w:r>
      <w:r w:rsidR="00E45E11" w:rsidRPr="00175DC1">
        <w:rPr>
          <w:rFonts w:ascii="Palatino Linotype" w:hAnsi="Palatino Linotype"/>
          <w:b w:val="0"/>
          <w:color w:val="auto"/>
          <w:sz w:val="28"/>
        </w:rPr>
        <w:t xml:space="preserve">) </w:t>
      </w:r>
      <w:r w:rsidR="00E45E11">
        <w:rPr>
          <w:rFonts w:ascii="Palatino Linotype" w:hAnsi="Palatino Linotype"/>
          <w:b w:val="0"/>
          <w:color w:val="auto"/>
          <w:sz w:val="28"/>
        </w:rPr>
        <w:t>Evaluación económica del nuevo proyecto de ley</w:t>
      </w:r>
      <w:bookmarkEnd w:id="32"/>
    </w:p>
    <w:p w14:paraId="381C2084" w14:textId="77777777" w:rsidR="003C5FD8" w:rsidRDefault="003C5FD8" w:rsidP="003C5FD8">
      <w:pPr>
        <w:jc w:val="both"/>
        <w:rPr>
          <w:rFonts w:ascii="Palatino Linotype" w:hAnsi="Palatino Linotype"/>
        </w:rPr>
      </w:pPr>
    </w:p>
    <w:p w14:paraId="42F37D2D" w14:textId="2E17282C" w:rsidR="00E45E11" w:rsidRDefault="00E45E11" w:rsidP="003C5FD8">
      <w:pPr>
        <w:jc w:val="both"/>
        <w:rPr>
          <w:rFonts w:ascii="Palatino Linotype" w:hAnsi="Palatino Linotype"/>
        </w:rPr>
      </w:pPr>
      <w:r>
        <w:rPr>
          <w:rFonts w:ascii="Palatino Linotype" w:hAnsi="Palatino Linotype"/>
        </w:rPr>
        <w:t>El proyecto de ley presentado por el Ejecutivo para modificar el sistema de financiamiento en la educación superior cuenta con una serie de características que lo hacen beneficioso</w:t>
      </w:r>
      <w:r w:rsidR="00BC117D">
        <w:rPr>
          <w:rFonts w:ascii="Palatino Linotype" w:hAnsi="Palatino Linotype"/>
        </w:rPr>
        <w:t>, tanto para los estudiantes como para el resto de la sociedad</w:t>
      </w:r>
      <w:r>
        <w:rPr>
          <w:rFonts w:ascii="Palatino Linotype" w:hAnsi="Palatino Linotype"/>
        </w:rPr>
        <w:t xml:space="preserve">. </w:t>
      </w:r>
    </w:p>
    <w:p w14:paraId="7C45E687" w14:textId="77777777" w:rsidR="00E45E11" w:rsidRDefault="00E45E11" w:rsidP="003C5FD8">
      <w:pPr>
        <w:jc w:val="both"/>
        <w:rPr>
          <w:rFonts w:ascii="Palatino Linotype" w:hAnsi="Palatino Linotype"/>
        </w:rPr>
      </w:pPr>
    </w:p>
    <w:p w14:paraId="2DAE3B38" w14:textId="005CA2E2" w:rsidR="00E45E11" w:rsidRDefault="008849E6" w:rsidP="003C5FD8">
      <w:pPr>
        <w:jc w:val="both"/>
        <w:rPr>
          <w:rFonts w:ascii="Palatino Linotype" w:hAnsi="Palatino Linotype"/>
        </w:rPr>
      </w:pPr>
      <w:r>
        <w:rPr>
          <w:rFonts w:ascii="Palatino Linotype" w:hAnsi="Palatino Linotype"/>
        </w:rPr>
        <w:t xml:space="preserve">Desde el punto de vista económico, </w:t>
      </w:r>
      <w:r w:rsidR="0016644D">
        <w:rPr>
          <w:rFonts w:ascii="Palatino Linotype" w:hAnsi="Palatino Linotype"/>
        </w:rPr>
        <w:t>el sistema de créditos contingentes al ingreso es u</w:t>
      </w:r>
      <w:r w:rsidR="001B03F8">
        <w:rPr>
          <w:rFonts w:ascii="Palatino Linotype" w:hAnsi="Palatino Linotype"/>
        </w:rPr>
        <w:t>n buen mecanismo para permitir que estudiantes ingresen y permanezcan en la educación superior independiente de sus condiciones socioeconómicas.</w:t>
      </w:r>
    </w:p>
    <w:p w14:paraId="7CE176BD" w14:textId="7ECB0EDF" w:rsidR="001B03F8" w:rsidRDefault="001B03F8" w:rsidP="003C5FD8">
      <w:pPr>
        <w:jc w:val="both"/>
        <w:rPr>
          <w:rFonts w:ascii="Palatino Linotype" w:hAnsi="Palatino Linotype"/>
        </w:rPr>
      </w:pPr>
    </w:p>
    <w:p w14:paraId="48661F50" w14:textId="527EAB0D" w:rsidR="00BB328F" w:rsidRDefault="001B03F8" w:rsidP="003C5FD8">
      <w:pPr>
        <w:jc w:val="both"/>
        <w:rPr>
          <w:rFonts w:ascii="Palatino Linotype" w:hAnsi="Palatino Linotype"/>
        </w:rPr>
      </w:pPr>
      <w:r>
        <w:rPr>
          <w:rFonts w:ascii="Palatino Linotype" w:hAnsi="Palatino Linotype"/>
        </w:rPr>
        <w:t xml:space="preserve">La elección del porcentaje del ingreso destinado al pago del crédito, el umbral mínimo de ingresos para pagar, </w:t>
      </w:r>
      <w:r w:rsidR="00531968">
        <w:rPr>
          <w:rFonts w:ascii="Palatino Linotype" w:hAnsi="Palatino Linotype"/>
        </w:rPr>
        <w:t xml:space="preserve">el monto mínimo y máximo de la deuda, </w:t>
      </w:r>
      <w:r>
        <w:rPr>
          <w:rFonts w:ascii="Palatino Linotype" w:hAnsi="Palatino Linotype"/>
        </w:rPr>
        <w:t>la tasa de interés de la deuda y el plazo de expiración, están en línea con experiencias internacionales exitosas</w:t>
      </w:r>
      <w:r w:rsidR="00BC117D">
        <w:rPr>
          <w:rStyle w:val="Refdenotaalpie"/>
          <w:rFonts w:ascii="Palatino Linotype" w:hAnsi="Palatino Linotype"/>
        </w:rPr>
        <w:footnoteReference w:id="28"/>
      </w:r>
      <w:r w:rsidR="00234B26">
        <w:rPr>
          <w:rFonts w:ascii="Palatino Linotype" w:hAnsi="Palatino Linotype"/>
        </w:rPr>
        <w:t xml:space="preserve"> y con la realidad nacional</w:t>
      </w:r>
      <w:r>
        <w:rPr>
          <w:rFonts w:ascii="Palatino Linotype" w:hAnsi="Palatino Linotype"/>
        </w:rPr>
        <w:t xml:space="preserve">. No existen argumentos para pensar que, en estos elementos en particular, la propuesta del Ejecutivo presenta características </w:t>
      </w:r>
      <w:r w:rsidR="00234B26">
        <w:rPr>
          <w:rFonts w:ascii="Palatino Linotype" w:hAnsi="Palatino Linotype"/>
        </w:rPr>
        <w:t>perjudiciales tanto para los estudiantes</w:t>
      </w:r>
      <w:r w:rsidR="001C67EA">
        <w:rPr>
          <w:rFonts w:ascii="Palatino Linotype" w:hAnsi="Palatino Linotype"/>
        </w:rPr>
        <w:t xml:space="preserve"> como para el Estado. Si bien</w:t>
      </w:r>
      <w:r w:rsidR="00BB328F">
        <w:rPr>
          <w:rFonts w:ascii="Palatino Linotype" w:hAnsi="Palatino Linotype"/>
        </w:rPr>
        <w:t xml:space="preserve"> </w:t>
      </w:r>
      <w:r w:rsidR="00BC117D">
        <w:rPr>
          <w:rFonts w:ascii="Palatino Linotype" w:hAnsi="Palatino Linotype"/>
        </w:rPr>
        <w:t>e</w:t>
      </w:r>
      <w:r w:rsidR="00BB328F">
        <w:rPr>
          <w:rFonts w:ascii="Palatino Linotype" w:hAnsi="Palatino Linotype"/>
        </w:rPr>
        <w:t>xistirán casos en que, dado el monto de la deuda y los ingresos del trabajador, la deuda no se pagará en su totalidad por el beneficiario, será el Estado, a través de todos sus contribuyentes, quienes pagarán este costo</w:t>
      </w:r>
      <w:r>
        <w:rPr>
          <w:rFonts w:ascii="Palatino Linotype" w:hAnsi="Palatino Linotype"/>
        </w:rPr>
        <w:t>.</w:t>
      </w:r>
      <w:r w:rsidR="00531968">
        <w:rPr>
          <w:rFonts w:ascii="Palatino Linotype" w:hAnsi="Palatino Linotype"/>
        </w:rPr>
        <w:t xml:space="preserve"> </w:t>
      </w:r>
    </w:p>
    <w:p w14:paraId="7FA6149F" w14:textId="77777777" w:rsidR="00BB328F" w:rsidRDefault="00BB328F" w:rsidP="003C5FD8">
      <w:pPr>
        <w:jc w:val="both"/>
        <w:rPr>
          <w:rFonts w:ascii="Palatino Linotype" w:hAnsi="Palatino Linotype"/>
        </w:rPr>
      </w:pPr>
    </w:p>
    <w:p w14:paraId="4F066E2F" w14:textId="17DBF368" w:rsidR="001B03F8" w:rsidRDefault="00BB328F" w:rsidP="003C5FD8">
      <w:pPr>
        <w:jc w:val="both"/>
        <w:rPr>
          <w:rFonts w:ascii="Palatino Linotype" w:hAnsi="Palatino Linotype"/>
        </w:rPr>
      </w:pPr>
      <w:r>
        <w:rPr>
          <w:rFonts w:ascii="Palatino Linotype" w:hAnsi="Palatino Linotype"/>
        </w:rPr>
        <w:t>Asimismo, p</w:t>
      </w:r>
      <w:r w:rsidR="00531968">
        <w:rPr>
          <w:rFonts w:ascii="Palatino Linotype" w:hAnsi="Palatino Linotype"/>
        </w:rPr>
        <w:t xml:space="preserve">rudente es la indicación que el monto de la deuda esté expresado en UTM, como se viene haciendo con los créditos educacionales hace años, pues protege tanto al Estado como a los estudiantes ante volatilidades en el nivel de precios. </w:t>
      </w:r>
    </w:p>
    <w:p w14:paraId="32639B56" w14:textId="77777777" w:rsidR="001B03F8" w:rsidRDefault="001B03F8" w:rsidP="003C5FD8">
      <w:pPr>
        <w:jc w:val="both"/>
        <w:rPr>
          <w:rFonts w:ascii="Palatino Linotype" w:hAnsi="Palatino Linotype"/>
        </w:rPr>
      </w:pPr>
    </w:p>
    <w:p w14:paraId="00F0B7C6" w14:textId="4E02DBA8" w:rsidR="001B03F8" w:rsidRDefault="001B03F8" w:rsidP="003C5FD8">
      <w:pPr>
        <w:jc w:val="both"/>
        <w:rPr>
          <w:rFonts w:ascii="Palatino Linotype" w:hAnsi="Palatino Linotype"/>
        </w:rPr>
      </w:pPr>
      <w:r>
        <w:rPr>
          <w:rFonts w:ascii="Palatino Linotype" w:hAnsi="Palatino Linotype"/>
        </w:rPr>
        <w:t xml:space="preserve">Por </w:t>
      </w:r>
      <w:r w:rsidR="00D47572">
        <w:rPr>
          <w:rFonts w:ascii="Palatino Linotype" w:hAnsi="Palatino Linotype"/>
        </w:rPr>
        <w:t>otro lado, el proyecto de ley</w:t>
      </w:r>
      <w:r>
        <w:rPr>
          <w:rFonts w:ascii="Palatino Linotype" w:hAnsi="Palatino Linotype"/>
        </w:rPr>
        <w:t xml:space="preserve"> desarrolla dos elementos que se han trabajado en modelos </w:t>
      </w:r>
      <w:r w:rsidR="00531968">
        <w:rPr>
          <w:rFonts w:ascii="Palatino Linotype" w:hAnsi="Palatino Linotype"/>
        </w:rPr>
        <w:t>similares a lo largo del mundo; a saber, las condiciones de prepago y el método de cobro de la deuda a través de los empleadores.</w:t>
      </w:r>
      <w:r w:rsidR="00D47572">
        <w:rPr>
          <w:rFonts w:ascii="Palatino Linotype" w:hAnsi="Palatino Linotype"/>
        </w:rPr>
        <w:t xml:space="preserve"> Estas características del crédito </w:t>
      </w:r>
      <w:r w:rsidR="00324BE4">
        <w:rPr>
          <w:rFonts w:ascii="Palatino Linotype" w:hAnsi="Palatino Linotype"/>
        </w:rPr>
        <w:t>facilitan su cobro y dan libertad de acción a sus beneficiarios.</w:t>
      </w:r>
    </w:p>
    <w:p w14:paraId="5937A35B" w14:textId="77777777" w:rsidR="00C54B2E" w:rsidRDefault="00C54B2E" w:rsidP="003C5FD8">
      <w:pPr>
        <w:jc w:val="both"/>
        <w:rPr>
          <w:rFonts w:ascii="Palatino Linotype" w:hAnsi="Palatino Linotype"/>
        </w:rPr>
      </w:pPr>
    </w:p>
    <w:p w14:paraId="14DCD6BB" w14:textId="0076E972" w:rsidR="00C54B2E" w:rsidRPr="00C54B2E" w:rsidRDefault="00C54B2E" w:rsidP="00C54B2E">
      <w:pPr>
        <w:jc w:val="both"/>
        <w:rPr>
          <w:rFonts w:ascii="Palatino Linotype" w:hAnsi="Palatino Linotype"/>
          <w:lang w:val="es-CL"/>
        </w:rPr>
      </w:pPr>
      <w:r>
        <w:rPr>
          <w:rFonts w:ascii="Palatino Linotype" w:hAnsi="Palatino Linotype"/>
        </w:rPr>
        <w:t xml:space="preserve">Así, tal como está presentado, el Proyecto de Ley cumple con tres características relevantes que hacen beneficiosa su implementación: es justo, solidario y responsable. Justo, pues permite que los estudiantes puedan acceder a la educación superior independiente de sus condiciones socioeconómicas; solidario, </w:t>
      </w:r>
      <w:r w:rsidRPr="00C54B2E">
        <w:rPr>
          <w:rFonts w:ascii="Palatino Linotype" w:hAnsi="Palatino Linotype"/>
          <w:lang w:val="es-CL"/>
        </w:rPr>
        <w:t xml:space="preserve">porque el peso del costo de esa educación se reparte entre los estudiantes y el resto de la </w:t>
      </w:r>
      <w:r w:rsidRPr="00C54B2E">
        <w:rPr>
          <w:rFonts w:ascii="Palatino Linotype" w:hAnsi="Palatino Linotype"/>
          <w:lang w:val="es-CL"/>
        </w:rPr>
        <w:lastRenderedPageBreak/>
        <w:t xml:space="preserve">sociedad, que es solidaria para cubrir la parte del costo de la educación de aquellos graduados cuyos ingresos no le permitieron devolver </w:t>
      </w:r>
      <w:r>
        <w:rPr>
          <w:rFonts w:ascii="Palatino Linotype" w:hAnsi="Palatino Linotype"/>
          <w:lang w:val="es-CL"/>
        </w:rPr>
        <w:t>completamente lo que recibieron; responsable, porque usa una fórmula ya probada con éxito en otros países (co</w:t>
      </w:r>
      <w:r w:rsidR="00F205DF">
        <w:rPr>
          <w:rFonts w:ascii="Palatino Linotype" w:hAnsi="Palatino Linotype"/>
          <w:lang w:val="es-CL"/>
        </w:rPr>
        <w:t>mo Australia o Inglaterra), con características adecuadas para la realidad nacional.</w:t>
      </w:r>
    </w:p>
    <w:p w14:paraId="4682B240" w14:textId="262FDA77" w:rsidR="00C54B2E" w:rsidRDefault="00C54B2E" w:rsidP="003C5FD8">
      <w:pPr>
        <w:jc w:val="both"/>
        <w:rPr>
          <w:rFonts w:ascii="Palatino Linotype" w:hAnsi="Palatino Linotype"/>
        </w:rPr>
      </w:pPr>
    </w:p>
    <w:p w14:paraId="2DD1D7BF" w14:textId="77777777" w:rsidR="00531968" w:rsidRDefault="00531968" w:rsidP="003C5FD8">
      <w:pPr>
        <w:jc w:val="both"/>
        <w:rPr>
          <w:rFonts w:ascii="Palatino Linotype" w:hAnsi="Palatino Linotype"/>
        </w:rPr>
      </w:pPr>
    </w:p>
    <w:p w14:paraId="3DA39E91" w14:textId="77777777" w:rsidR="005240A2" w:rsidRDefault="005240A2" w:rsidP="003C5FD8">
      <w:pPr>
        <w:jc w:val="both"/>
        <w:rPr>
          <w:rFonts w:ascii="Palatino Linotype" w:hAnsi="Palatino Linotype"/>
        </w:rPr>
      </w:pPr>
    </w:p>
    <w:p w14:paraId="664E8D55" w14:textId="77777777" w:rsidR="00531968" w:rsidRDefault="00531968" w:rsidP="003C5FD8">
      <w:pPr>
        <w:jc w:val="both"/>
        <w:rPr>
          <w:rFonts w:ascii="Palatino Linotype" w:hAnsi="Palatino Linotype"/>
        </w:rPr>
      </w:pPr>
    </w:p>
    <w:p w14:paraId="1D704DC4" w14:textId="77777777" w:rsidR="00531968" w:rsidRPr="003C5FD8" w:rsidRDefault="00531968" w:rsidP="003C5FD8">
      <w:pPr>
        <w:jc w:val="both"/>
        <w:rPr>
          <w:rFonts w:ascii="Palatino Linotype" w:hAnsi="Palatino Linotype"/>
        </w:rPr>
      </w:pPr>
    </w:p>
    <w:sectPr w:rsidR="00531968" w:rsidRPr="003C5FD8" w:rsidSect="00E514FF">
      <w:headerReference w:type="even" r:id="rId12"/>
      <w:headerReference w:type="default" r:id="rId13"/>
      <w:footerReference w:type="even" r:id="rId14"/>
      <w:footerReference w:type="default" r:id="rId15"/>
      <w:pgSz w:w="12240" w:h="15840"/>
      <w:pgMar w:top="1417" w:right="1701" w:bottom="1417" w:left="1701"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B0426" w14:textId="77777777" w:rsidR="005C561D" w:rsidRDefault="005C561D" w:rsidP="00441961">
      <w:r>
        <w:separator/>
      </w:r>
    </w:p>
  </w:endnote>
  <w:endnote w:type="continuationSeparator" w:id="0">
    <w:p w14:paraId="3A212F98" w14:textId="77777777" w:rsidR="005C561D" w:rsidRDefault="005C561D" w:rsidP="0044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73B9A" w14:textId="77777777" w:rsidR="005D3EE9" w:rsidRDefault="005D3EE9" w:rsidP="005437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48468193" w14:textId="77777777" w:rsidR="005D3EE9" w:rsidRDefault="005D3EE9" w:rsidP="005437C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DA3C0" w14:textId="77777777" w:rsidR="005D3EE9" w:rsidRDefault="005D3EE9" w:rsidP="005437C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4F3F">
      <w:rPr>
        <w:rStyle w:val="Nmerodepgina"/>
        <w:noProof/>
      </w:rPr>
      <w:t>8</w:t>
    </w:r>
    <w:r>
      <w:rPr>
        <w:rStyle w:val="Nmerodepgina"/>
      </w:rPr>
      <w:fldChar w:fldCharType="end"/>
    </w:r>
  </w:p>
  <w:p w14:paraId="4D9FBADD" w14:textId="77777777" w:rsidR="005D3EE9" w:rsidRDefault="005D3EE9" w:rsidP="005437C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3C80B" w14:textId="77777777" w:rsidR="005C561D" w:rsidRDefault="005C561D" w:rsidP="00441961">
      <w:r>
        <w:separator/>
      </w:r>
    </w:p>
  </w:footnote>
  <w:footnote w:type="continuationSeparator" w:id="0">
    <w:p w14:paraId="58CBA5E6" w14:textId="77777777" w:rsidR="005C561D" w:rsidRDefault="005C561D" w:rsidP="00441961">
      <w:r>
        <w:continuationSeparator/>
      </w:r>
    </w:p>
  </w:footnote>
  <w:footnote w:id="1">
    <w:p w14:paraId="39A0DD21" w14:textId="794CF0F0" w:rsidR="005D3EE9" w:rsidRPr="0004366E" w:rsidRDefault="005D3EE9" w:rsidP="0004366E">
      <w:pPr>
        <w:rPr>
          <w:rFonts w:ascii="Palatino Linotype" w:eastAsia="Times New Roman" w:hAnsi="Palatino Linotype"/>
          <w:sz w:val="18"/>
          <w:szCs w:val="18"/>
        </w:rPr>
      </w:pPr>
      <w:r>
        <w:rPr>
          <w:rStyle w:val="Refdenotaalpie"/>
        </w:rPr>
        <w:footnoteRef/>
      </w:r>
      <w:r>
        <w:t xml:space="preserve"> </w:t>
      </w:r>
      <w:r w:rsidRPr="00A12286">
        <w:rPr>
          <w:rFonts w:ascii="Palatino Linotype" w:hAnsi="Palatino Linotype"/>
          <w:sz w:val="18"/>
          <w:szCs w:val="18"/>
        </w:rPr>
        <w:t>El Cruch</w:t>
      </w:r>
      <w:r>
        <w:rPr>
          <w:rFonts w:ascii="Palatino Linotype" w:hAnsi="Palatino Linotype"/>
          <w:sz w:val="18"/>
          <w:szCs w:val="18"/>
        </w:rPr>
        <w:t xml:space="preserve"> es un organismo que reúne a 27 universidades chilenas, tanto públicas como privadas, y tiene como función la</w:t>
      </w:r>
      <w:r w:rsidRPr="00A12286">
        <w:rPr>
          <w:rFonts w:ascii="Palatino Linotype" w:hAnsi="Palatino Linotype"/>
          <w:sz w:val="18"/>
          <w:szCs w:val="18"/>
        </w:rPr>
        <w:t xml:space="preserve"> </w:t>
      </w:r>
      <w:r>
        <w:rPr>
          <w:rFonts w:ascii="Palatino Linotype" w:eastAsia="Times New Roman" w:hAnsi="Palatino Linotype"/>
          <w:sz w:val="18"/>
          <w:szCs w:val="18"/>
          <w:shd w:val="clear" w:color="auto" w:fill="FFFFFF"/>
        </w:rPr>
        <w:t xml:space="preserve">coordinación de la </w:t>
      </w:r>
      <w:r w:rsidRPr="00A12286">
        <w:rPr>
          <w:rFonts w:ascii="Palatino Linotype" w:eastAsia="Times New Roman" w:hAnsi="Palatino Linotype"/>
          <w:sz w:val="18"/>
          <w:szCs w:val="18"/>
          <w:shd w:val="clear" w:color="auto" w:fill="FFFFFF"/>
        </w:rPr>
        <w:t>labor universitaria del país.</w:t>
      </w:r>
      <w:hyperlink r:id="rId1" w:anchor="cite_note-CRUCH1-4" w:history="1">
        <w:r w:rsidRPr="00A12286">
          <w:rPr>
            <w:rStyle w:val="Hipervnculo"/>
            <w:rFonts w:ascii="Palatino Linotype" w:eastAsia="Times New Roman" w:hAnsi="Palatino Linotype"/>
            <w:color w:val="auto"/>
            <w:sz w:val="18"/>
            <w:szCs w:val="18"/>
            <w:u w:val="none"/>
            <w:shd w:val="clear" w:color="auto" w:fill="FFFFFF"/>
            <w:vertAlign w:val="superscript"/>
          </w:rPr>
          <w:t>4</w:t>
        </w:r>
      </w:hyperlink>
      <w:r w:rsidRPr="00A12286">
        <w:rPr>
          <w:rFonts w:ascii="Palatino Linotype" w:eastAsia="Times New Roman" w:hAnsi="Palatino Linotype"/>
          <w:sz w:val="18"/>
          <w:szCs w:val="18"/>
          <w:shd w:val="clear" w:color="auto" w:fill="FFFFFF"/>
        </w:rPr>
        <w:t>​ Las instituciones de </w:t>
      </w:r>
      <w:hyperlink r:id="rId2" w:tooltip="Educación superior en Chile" w:history="1">
        <w:r w:rsidRPr="00A12286">
          <w:rPr>
            <w:rStyle w:val="Hipervnculo"/>
            <w:rFonts w:ascii="Palatino Linotype" w:eastAsia="Times New Roman" w:hAnsi="Palatino Linotype"/>
            <w:color w:val="auto"/>
            <w:sz w:val="18"/>
            <w:szCs w:val="18"/>
            <w:u w:val="none"/>
            <w:shd w:val="clear" w:color="auto" w:fill="FFFFFF"/>
          </w:rPr>
          <w:t>educación superior</w:t>
        </w:r>
      </w:hyperlink>
      <w:r w:rsidRPr="00A12286">
        <w:rPr>
          <w:rFonts w:ascii="Palatino Linotype" w:eastAsia="Times New Roman" w:hAnsi="Palatino Linotype"/>
          <w:sz w:val="18"/>
          <w:szCs w:val="18"/>
          <w:shd w:val="clear" w:color="auto" w:fill="FFFFFF"/>
        </w:rPr>
        <w:t xml:space="preserve"> que lo </w:t>
      </w:r>
      <w:r>
        <w:rPr>
          <w:rFonts w:ascii="Palatino Linotype" w:eastAsia="Times New Roman" w:hAnsi="Palatino Linotype"/>
          <w:sz w:val="18"/>
          <w:szCs w:val="18"/>
          <w:shd w:val="clear" w:color="auto" w:fill="FFFFFF"/>
        </w:rPr>
        <w:t>integran suelen ser denominadas en Chile como “universidades tradicionales”</w:t>
      </w:r>
      <w:r w:rsidRPr="00A12286">
        <w:rPr>
          <w:rFonts w:ascii="Palatino Linotype" w:eastAsia="Times New Roman" w:hAnsi="Palatino Linotype"/>
          <w:sz w:val="18"/>
          <w:szCs w:val="18"/>
          <w:shd w:val="clear" w:color="auto" w:fill="FFFFFF"/>
        </w:rPr>
        <w:t>.</w:t>
      </w:r>
    </w:p>
  </w:footnote>
  <w:footnote w:id="2">
    <w:p w14:paraId="0AAA00F4" w14:textId="2CEE33F6" w:rsidR="005D3EE9" w:rsidRPr="0004366E" w:rsidRDefault="005D3EE9">
      <w:pPr>
        <w:pStyle w:val="Textonotapie"/>
        <w:rPr>
          <w:rFonts w:ascii="Palatino Linotype" w:hAnsi="Palatino Linotype"/>
        </w:rPr>
      </w:pPr>
      <w:r w:rsidRPr="0004366E">
        <w:rPr>
          <w:rStyle w:val="Refdenotaalpie"/>
          <w:rFonts w:ascii="Palatino Linotype" w:hAnsi="Palatino Linotype"/>
          <w:sz w:val="18"/>
        </w:rPr>
        <w:footnoteRef/>
      </w:r>
      <w:r w:rsidRPr="0004366E">
        <w:rPr>
          <w:rFonts w:ascii="Palatino Linotype" w:hAnsi="Palatino Linotype"/>
          <w:sz w:val="18"/>
        </w:rPr>
        <w:t xml:space="preserve"> </w:t>
      </w:r>
      <w:r w:rsidRPr="0004366E">
        <w:rPr>
          <w:rFonts w:ascii="Palatino Linotype" w:hAnsi="Palatino Linotype" w:cs="Lucida Grande"/>
          <w:color w:val="000000"/>
          <w:sz w:val="18"/>
        </w:rPr>
        <w:t>Fuente: Unidad de Finanzas-Unidad de Análisis, Departamento de Financiamiento Institucional, MINED</w:t>
      </w:r>
      <w:r>
        <w:rPr>
          <w:rFonts w:ascii="Palatino Linotype" w:hAnsi="Palatino Linotype"/>
          <w:vanish/>
          <w:sz w:val="26"/>
          <w:szCs w:val="26"/>
          <w:lang w:val="es-ES"/>
        </w:rPr>
        <w:t>estanciamiento: estudiantes</w:t>
      </w:r>
      <w:r>
        <w:rPr>
          <w:rFonts w:ascii="Palatino Linotype" w:hAnsi="Palatino Linotype"/>
          <w:vanish/>
          <w:sz w:val="26"/>
          <w:szCs w:val="26"/>
          <w:lang w:val="es-ES"/>
        </w:rPr>
        <w:cr/>
        <w:t>(PSU)rogado en febrero de 2018, a tracporte Fiscal Indirecto. uch)oucacifesionales y 59 mil a Centro</w:t>
      </w:r>
    </w:p>
  </w:footnote>
  <w:footnote w:id="3">
    <w:p w14:paraId="0CF28C5E" w14:textId="2DD0F720" w:rsidR="005D3EE9" w:rsidRDefault="005D3EE9">
      <w:pPr>
        <w:pStyle w:val="Textonotapie"/>
      </w:pPr>
      <w:r>
        <w:rPr>
          <w:rStyle w:val="Refdenotaalpie"/>
        </w:rPr>
        <w:footnoteRef/>
      </w:r>
      <w:r>
        <w:t xml:space="preserve"> </w:t>
      </w:r>
      <w:r w:rsidRPr="0030226F">
        <w:rPr>
          <w:rFonts w:ascii="Palatino Linotype" w:hAnsi="Palatino Linotype"/>
          <w:sz w:val="18"/>
        </w:rPr>
        <w:t>En</w:t>
      </w:r>
      <w:r>
        <w:rPr>
          <w:rFonts w:ascii="Palatino Linotype" w:hAnsi="Palatino Linotype"/>
          <w:sz w:val="18"/>
        </w:rPr>
        <w:t xml:space="preserve"> abril del presente año se presentó un proyecto de ley que extiende el beneficio de la gratuidad, para estudiantes pertenecientes a IPs y CFTS, al 70% más vulnerable.</w:t>
      </w:r>
    </w:p>
  </w:footnote>
  <w:footnote w:id="4">
    <w:p w14:paraId="10D1E3C8" w14:textId="1BA58A11" w:rsidR="005D3EE9" w:rsidRPr="00CB55C4" w:rsidRDefault="005D3EE9">
      <w:pPr>
        <w:pStyle w:val="Textonotapie"/>
        <w:rPr>
          <w:rFonts w:ascii="Palatino Linotype" w:hAnsi="Palatino Linotype"/>
        </w:rPr>
      </w:pPr>
      <w:r w:rsidRPr="00CB55C4">
        <w:rPr>
          <w:rStyle w:val="Refdenotaalpie"/>
          <w:rFonts w:ascii="Palatino Linotype" w:hAnsi="Palatino Linotype"/>
          <w:sz w:val="18"/>
        </w:rPr>
        <w:footnoteRef/>
      </w:r>
      <w:r w:rsidRPr="00CB55C4">
        <w:rPr>
          <w:rFonts w:ascii="Palatino Linotype" w:hAnsi="Palatino Linotype"/>
          <w:sz w:val="18"/>
        </w:rPr>
        <w:t xml:space="preserve"> Cálculo se hace en base a un promedio simple entre las </w:t>
      </w:r>
      <w:r>
        <w:rPr>
          <w:rFonts w:ascii="Palatino Linotype" w:hAnsi="Palatino Linotype"/>
          <w:sz w:val="18"/>
        </w:rPr>
        <w:t>PSU</w:t>
      </w:r>
      <w:r w:rsidRPr="00CB55C4">
        <w:rPr>
          <w:rFonts w:ascii="Palatino Linotype" w:hAnsi="Palatino Linotype"/>
          <w:sz w:val="18"/>
        </w:rPr>
        <w:t xml:space="preserve"> de Lenguaje y Comunicación, Matemáticas, el puntaje de Enseñanza Media y el Ranking de Notas.</w:t>
      </w:r>
    </w:p>
  </w:footnote>
  <w:footnote w:id="5">
    <w:p w14:paraId="51C4E94C" w14:textId="00402CCB" w:rsidR="005D3EE9" w:rsidRPr="00E9090B" w:rsidRDefault="005D3EE9">
      <w:pPr>
        <w:pStyle w:val="Textonotapie"/>
        <w:rPr>
          <w:rFonts w:ascii="Palatino Linotype" w:hAnsi="Palatino Linotype"/>
          <w:sz w:val="28"/>
        </w:rPr>
      </w:pPr>
      <w:r w:rsidRPr="00E9090B">
        <w:rPr>
          <w:rStyle w:val="Refdenotaalpie"/>
          <w:rFonts w:ascii="Palatino Linotype" w:hAnsi="Palatino Linotype"/>
          <w:sz w:val="18"/>
        </w:rPr>
        <w:footnoteRef/>
      </w:r>
      <w:r w:rsidRPr="00E9090B">
        <w:rPr>
          <w:rFonts w:ascii="Palatino Linotype" w:hAnsi="Palatino Linotype"/>
          <w:sz w:val="18"/>
        </w:rPr>
        <w:t xml:space="preserve"> Para más información sobre estas becas, visitar la página web http://portal.beneficiosestudiantiles.cl/becas/becas-de-arancel</w:t>
      </w:r>
    </w:p>
  </w:footnote>
  <w:footnote w:id="6">
    <w:p w14:paraId="2FF5F5E2" w14:textId="233591FE" w:rsidR="005D3EE9" w:rsidRPr="0039174D" w:rsidRDefault="005D3EE9">
      <w:pPr>
        <w:pStyle w:val="Textonotapie"/>
        <w:rPr>
          <w:rFonts w:ascii="Palatino Linotype" w:hAnsi="Palatino Linotype"/>
        </w:rPr>
      </w:pPr>
      <w:r w:rsidRPr="0039174D">
        <w:rPr>
          <w:rStyle w:val="Refdenotaalpie"/>
          <w:rFonts w:ascii="Palatino Linotype" w:hAnsi="Palatino Linotype"/>
          <w:sz w:val="18"/>
        </w:rPr>
        <w:footnoteRef/>
      </w:r>
      <w:r w:rsidRPr="0039174D">
        <w:rPr>
          <w:rFonts w:ascii="Palatino Linotype" w:hAnsi="Palatino Linotype"/>
          <w:sz w:val="18"/>
        </w:rPr>
        <w:t xml:space="preserve"> $9.536.200 a julio de 2018.</w:t>
      </w:r>
    </w:p>
  </w:footnote>
  <w:footnote w:id="7">
    <w:p w14:paraId="2D5D0070" w14:textId="4D9BE7FA" w:rsidR="005D3EE9" w:rsidRDefault="005D3EE9">
      <w:pPr>
        <w:pStyle w:val="Textonotapie"/>
      </w:pPr>
      <w:r w:rsidRPr="00A26C3E">
        <w:rPr>
          <w:rStyle w:val="Refdenotaalpie"/>
          <w:rFonts w:ascii="Palatino Linotype" w:hAnsi="Palatino Linotype"/>
          <w:sz w:val="18"/>
        </w:rPr>
        <w:footnoteRef/>
      </w:r>
      <w:r w:rsidRPr="00A26C3E">
        <w:rPr>
          <w:rStyle w:val="Refdenotaalpie"/>
          <w:rFonts w:ascii="Palatino Linotype" w:hAnsi="Palatino Linotype"/>
          <w:sz w:val="18"/>
        </w:rPr>
        <w:t xml:space="preserve"> </w:t>
      </w:r>
      <w:r w:rsidRPr="00A26C3E">
        <w:rPr>
          <w:rFonts w:ascii="Palatino Linotype" w:hAnsi="Palatino Linotype"/>
          <w:sz w:val="18"/>
        </w:rPr>
        <w:t>Para más información sobre este sistema, visitar http://portal.ingresa.cl/instituciones-participantes/estudiantes-que-ingresan-a-primer-ano/</w:t>
      </w:r>
    </w:p>
  </w:footnote>
  <w:footnote w:id="8">
    <w:p w14:paraId="2BD70ACF" w14:textId="2227C4CD" w:rsidR="005D3EE9" w:rsidRPr="00BC117D" w:rsidRDefault="005D3EE9" w:rsidP="00BC117D">
      <w:pPr>
        <w:pStyle w:val="Textonotapie"/>
        <w:rPr>
          <w:rFonts w:ascii="Palatino Linotype" w:hAnsi="Palatino Linotype"/>
          <w:sz w:val="18"/>
        </w:rPr>
      </w:pPr>
      <w:r w:rsidRPr="00BC117D">
        <w:rPr>
          <w:rStyle w:val="Refdenotaalpie"/>
          <w:rFonts w:ascii="Palatino Linotype" w:hAnsi="Palatino Linotype"/>
          <w:sz w:val="18"/>
        </w:rPr>
        <w:footnoteRef/>
      </w:r>
      <w:r>
        <w:t xml:space="preserve"> </w:t>
      </w:r>
      <w:r>
        <w:rPr>
          <w:rFonts w:ascii="Palatino Linotype" w:hAnsi="Palatino Linotype"/>
          <w:sz w:val="18"/>
        </w:rPr>
        <w:t>Modificación a la Ley Nº20.027, en la que se incorpora el Artículo 11 bis, el año 2012.</w:t>
      </w:r>
    </w:p>
  </w:footnote>
  <w:footnote w:id="9">
    <w:p w14:paraId="09104180" w14:textId="1CAEBF01" w:rsidR="005D3EE9" w:rsidRPr="005315ED" w:rsidRDefault="005D3EE9">
      <w:pPr>
        <w:pStyle w:val="Textonotapie"/>
        <w:rPr>
          <w:rFonts w:ascii="Palatino Linotype" w:hAnsi="Palatino Linotype"/>
        </w:rPr>
      </w:pPr>
      <w:r w:rsidRPr="005315ED">
        <w:rPr>
          <w:rStyle w:val="Refdenotaalpie"/>
          <w:rFonts w:ascii="Palatino Linotype" w:hAnsi="Palatino Linotype"/>
          <w:sz w:val="18"/>
        </w:rPr>
        <w:footnoteRef/>
      </w:r>
      <w:r w:rsidRPr="005315ED">
        <w:rPr>
          <w:rFonts w:ascii="Palatino Linotype" w:hAnsi="Palatino Linotype"/>
          <w:sz w:val="18"/>
        </w:rPr>
        <w:t xml:space="preserve"> Información a diciembre de 2017. Datos obtenido del Consejo Nacional de Educación, consultados el 13 de junio en https://www.cned.cl/indices/matricula-institucionesprogramas-educacion-superior</w:t>
      </w:r>
    </w:p>
  </w:footnote>
  <w:footnote w:id="10">
    <w:p w14:paraId="04AA11FF" w14:textId="75D17528" w:rsidR="005D3EE9" w:rsidRPr="00464B54" w:rsidRDefault="005D3EE9">
      <w:pPr>
        <w:pStyle w:val="Textonotapie"/>
        <w:rPr>
          <w:rFonts w:ascii="Palatino Linotype" w:hAnsi="Palatino Linotype"/>
        </w:rPr>
      </w:pPr>
      <w:r w:rsidRPr="00464B54">
        <w:rPr>
          <w:rStyle w:val="Refdenotaalpie"/>
          <w:rFonts w:ascii="Palatino Linotype" w:hAnsi="Palatino Linotype"/>
          <w:sz w:val="18"/>
        </w:rPr>
        <w:footnoteRef/>
      </w:r>
      <w:r w:rsidRPr="00464B54">
        <w:rPr>
          <w:rFonts w:ascii="Palatino Linotype" w:hAnsi="Palatino Linotype"/>
          <w:sz w:val="18"/>
        </w:rPr>
        <w:t xml:space="preserve"> </w:t>
      </w:r>
      <w:r>
        <w:rPr>
          <w:rFonts w:ascii="Palatino Linotype" w:hAnsi="Palatino Linotype"/>
          <w:sz w:val="18"/>
        </w:rPr>
        <w:t>E</w:t>
      </w:r>
      <w:r w:rsidRPr="00464B54">
        <w:rPr>
          <w:rFonts w:ascii="Palatino Linotype" w:hAnsi="Palatino Linotype"/>
          <w:sz w:val="18"/>
        </w:rPr>
        <w:t xml:space="preserve">ntiéndase IES </w:t>
      </w:r>
      <w:r>
        <w:rPr>
          <w:rFonts w:ascii="Palatino Linotype" w:hAnsi="Palatino Linotype"/>
          <w:sz w:val="18"/>
        </w:rPr>
        <w:t>como</w:t>
      </w:r>
      <w:r w:rsidRPr="00464B54">
        <w:rPr>
          <w:rFonts w:ascii="Palatino Linotype" w:hAnsi="Palatino Linotype"/>
          <w:sz w:val="18"/>
        </w:rPr>
        <w:t xml:space="preserve"> universidades, IPs y CFTs de aquí</w:t>
      </w:r>
      <w:r>
        <w:rPr>
          <w:rFonts w:ascii="Palatino Linotype" w:hAnsi="Palatino Linotype"/>
          <w:sz w:val="18"/>
        </w:rPr>
        <w:t xml:space="preserve"> en adelante.</w:t>
      </w:r>
    </w:p>
  </w:footnote>
  <w:footnote w:id="11">
    <w:p w14:paraId="54E87D65" w14:textId="6160C183" w:rsidR="005D3EE9" w:rsidRPr="00BC117D" w:rsidRDefault="005D3EE9">
      <w:pPr>
        <w:pStyle w:val="Textonotapie"/>
        <w:rPr>
          <w:rFonts w:ascii="Palatino Linotype" w:hAnsi="Palatino Linotype"/>
        </w:rPr>
      </w:pPr>
      <w:r w:rsidRPr="00BC117D">
        <w:rPr>
          <w:rStyle w:val="Refdenotaalpie"/>
          <w:rFonts w:ascii="Palatino Linotype" w:hAnsi="Palatino Linotype"/>
          <w:sz w:val="18"/>
        </w:rPr>
        <w:footnoteRef/>
      </w:r>
      <w:r w:rsidRPr="00BC117D">
        <w:rPr>
          <w:rFonts w:ascii="Palatino Linotype" w:hAnsi="Palatino Linotype"/>
          <w:sz w:val="18"/>
        </w:rPr>
        <w:t xml:space="preserve"> No se tienen datos para el año 2017.</w:t>
      </w:r>
    </w:p>
  </w:footnote>
  <w:footnote w:id="12">
    <w:p w14:paraId="2690A1F0" w14:textId="1B8AAF63" w:rsidR="005D3EE9" w:rsidRPr="00A8431F" w:rsidRDefault="005D3EE9">
      <w:pPr>
        <w:pStyle w:val="Textonotapie"/>
        <w:rPr>
          <w:lang w:val="es-ES"/>
        </w:rPr>
      </w:pPr>
      <w:r w:rsidRPr="00A8431F">
        <w:rPr>
          <w:rStyle w:val="Refdenotaalpie"/>
          <w:sz w:val="18"/>
        </w:rPr>
        <w:footnoteRef/>
      </w:r>
      <w:r w:rsidRPr="00A8431F">
        <w:rPr>
          <w:sz w:val="18"/>
        </w:rPr>
        <w:t xml:space="preserve"> </w:t>
      </w:r>
      <w:r w:rsidRPr="00A8431F">
        <w:rPr>
          <w:rFonts w:ascii="Palatino Linotype" w:hAnsi="Palatino Linotype"/>
          <w:sz w:val="18"/>
        </w:rPr>
        <w:t>De acuerdo a la Segpres, en su Minuta sobre el Sistema de Financiamiento Solidario, de junio de 2018.</w:t>
      </w:r>
    </w:p>
  </w:footnote>
  <w:footnote w:id="13">
    <w:p w14:paraId="7A235CEE" w14:textId="403A0DB1" w:rsidR="005D3EE9" w:rsidRDefault="005D3EE9">
      <w:pPr>
        <w:pStyle w:val="Textonotapie"/>
      </w:pPr>
      <w:r w:rsidRPr="007C17AF">
        <w:rPr>
          <w:rStyle w:val="Refdenotaalpie"/>
          <w:sz w:val="18"/>
        </w:rPr>
        <w:footnoteRef/>
      </w:r>
      <w:r>
        <w:t xml:space="preserve"> </w:t>
      </w:r>
      <w:r w:rsidRPr="007C17AF">
        <w:rPr>
          <w:rFonts w:ascii="Palatino Linotype" w:hAnsi="Palatino Linotype"/>
          <w:sz w:val="18"/>
        </w:rPr>
        <w:t>Mensaje presidencial Nº 043, presentando el 07 de junio de 2018</w:t>
      </w:r>
      <w:r>
        <w:rPr>
          <w:rFonts w:ascii="Palatino Linotype" w:hAnsi="Palatino Linotype"/>
          <w:sz w:val="18"/>
        </w:rPr>
        <w:t xml:space="preserve"> al Congreso.</w:t>
      </w:r>
    </w:p>
  </w:footnote>
  <w:footnote w:id="14">
    <w:p w14:paraId="183ED7D8" w14:textId="036B5BA3" w:rsidR="005D3EE9" w:rsidRPr="00270635" w:rsidRDefault="005D3EE9">
      <w:pPr>
        <w:pStyle w:val="Textonotapie"/>
        <w:rPr>
          <w:rFonts w:ascii="Palatino Linotype" w:hAnsi="Palatino Linotype"/>
        </w:rPr>
      </w:pPr>
      <w:r w:rsidRPr="00270635">
        <w:rPr>
          <w:rStyle w:val="Refdenotaalpie"/>
          <w:rFonts w:ascii="Palatino Linotype" w:hAnsi="Palatino Linotype"/>
          <w:sz w:val="18"/>
        </w:rPr>
        <w:footnoteRef/>
      </w:r>
      <w:r w:rsidRPr="00270635">
        <w:rPr>
          <w:rFonts w:ascii="Palatino Linotype" w:hAnsi="Palatino Linotype"/>
          <w:sz w:val="18"/>
        </w:rPr>
        <w:t xml:space="preserve"> De acuerdo al nuevo proyecto de ley.</w:t>
      </w:r>
    </w:p>
  </w:footnote>
  <w:footnote w:id="15">
    <w:p w14:paraId="1465F735" w14:textId="3E49C8E3" w:rsidR="005D3EE9" w:rsidRPr="00234B26" w:rsidRDefault="005D3EE9">
      <w:pPr>
        <w:pStyle w:val="Textonotapie"/>
        <w:rPr>
          <w:rFonts w:ascii="Palatino Linotype" w:hAnsi="Palatino Linotype"/>
        </w:rPr>
      </w:pPr>
      <w:r w:rsidRPr="00234B26">
        <w:rPr>
          <w:rStyle w:val="Refdenotaalpie"/>
          <w:rFonts w:ascii="Palatino Linotype" w:hAnsi="Palatino Linotype"/>
          <w:sz w:val="18"/>
        </w:rPr>
        <w:footnoteRef/>
      </w:r>
      <w:r w:rsidRPr="00234B26">
        <w:rPr>
          <w:rFonts w:ascii="Palatino Linotype" w:hAnsi="Palatino Linotype"/>
          <w:sz w:val="18"/>
        </w:rPr>
        <w:t xml:space="preserve"> El deudor deberá informar al empleador, por escrito, si es beneficiario de este crédito.</w:t>
      </w:r>
    </w:p>
  </w:footnote>
  <w:footnote w:id="16">
    <w:p w14:paraId="5AEB37A6" w14:textId="516B84CD" w:rsidR="005D3EE9" w:rsidRPr="005D3EE9" w:rsidRDefault="005D3EE9" w:rsidP="002E250B">
      <w:pPr>
        <w:pStyle w:val="Textonotapie"/>
        <w:jc w:val="both"/>
        <w:rPr>
          <w:rFonts w:ascii="Palatino Linotype" w:hAnsi="Palatino Linotype"/>
          <w:sz w:val="18"/>
          <w:lang w:val="en-US"/>
        </w:rPr>
      </w:pPr>
      <w:r w:rsidRPr="002E250B">
        <w:rPr>
          <w:rStyle w:val="Refdenotaalpie"/>
          <w:rFonts w:ascii="Palatino Linotype" w:hAnsi="Palatino Linotype"/>
          <w:sz w:val="18"/>
        </w:rPr>
        <w:footnoteRef/>
      </w:r>
      <w:r w:rsidRPr="005D3EE9">
        <w:rPr>
          <w:rFonts w:ascii="Palatino Linotype" w:hAnsi="Palatino Linotype"/>
          <w:sz w:val="18"/>
          <w:lang w:val="en-US"/>
        </w:rPr>
        <w:t xml:space="preserve"> Barr, N. (2004). Higher education funding. Oxford Review of Economic Policy, 20, 2: 264-83.</w:t>
      </w:r>
    </w:p>
  </w:footnote>
  <w:footnote w:id="17">
    <w:p w14:paraId="3F658F78" w14:textId="1C9444C8" w:rsidR="005D3EE9" w:rsidRPr="005D3EE9" w:rsidRDefault="005D3EE9" w:rsidP="002E250B">
      <w:pPr>
        <w:pStyle w:val="Textonotapie"/>
        <w:jc w:val="both"/>
        <w:rPr>
          <w:rFonts w:ascii="Palatino Linotype" w:hAnsi="Palatino Linotype"/>
          <w:lang w:val="en-US"/>
        </w:rPr>
      </w:pPr>
      <w:r w:rsidRPr="002E250B">
        <w:rPr>
          <w:rStyle w:val="Refdenotaalpie"/>
          <w:rFonts w:ascii="Palatino Linotype" w:hAnsi="Palatino Linotype"/>
          <w:sz w:val="18"/>
        </w:rPr>
        <w:footnoteRef/>
      </w:r>
      <w:r w:rsidRPr="005D3EE9">
        <w:rPr>
          <w:rFonts w:ascii="Palatino Linotype" w:hAnsi="Palatino Linotype"/>
          <w:sz w:val="18"/>
          <w:lang w:val="en-US"/>
        </w:rPr>
        <w:t xml:space="preserve"> Barr, N. (2012). The Economics of  the Welfare State (5th Edition). Oxford and New York; NY: Oxford University Press.</w:t>
      </w:r>
    </w:p>
  </w:footnote>
  <w:footnote w:id="18">
    <w:p w14:paraId="7A49151A" w14:textId="3DDC977B" w:rsidR="005D3EE9" w:rsidRPr="005D3EE9" w:rsidRDefault="005D3EE9">
      <w:pPr>
        <w:pStyle w:val="Textonotapie"/>
        <w:rPr>
          <w:rFonts w:ascii="Palatino Linotype" w:hAnsi="Palatino Linotype"/>
          <w:lang w:val="en-US"/>
        </w:rPr>
      </w:pPr>
      <w:r w:rsidRPr="006B5F55">
        <w:rPr>
          <w:rStyle w:val="Refdenotaalpie"/>
          <w:rFonts w:ascii="Palatino Linotype" w:hAnsi="Palatino Linotype"/>
          <w:sz w:val="18"/>
        </w:rPr>
        <w:footnoteRef/>
      </w:r>
      <w:r w:rsidRPr="005D3EE9">
        <w:rPr>
          <w:rFonts w:ascii="Palatino Linotype" w:hAnsi="Palatino Linotype"/>
          <w:sz w:val="18"/>
          <w:lang w:val="en-US"/>
        </w:rPr>
        <w:t xml:space="preserve"> Blundell, R. , Dearden, L. &amp; Sianesi, B. (2005). Measuring the returns to education. In S. Machin and A. Vignoles (eds). What’s the Good of Education? The Economics of Education in the UK, Princeton, NJ: Princeton University Press, pp. 117-45.</w:t>
      </w:r>
    </w:p>
  </w:footnote>
  <w:footnote w:id="19">
    <w:p w14:paraId="08F29725" w14:textId="63524C58" w:rsidR="005D3EE9" w:rsidRPr="006B5F55" w:rsidRDefault="005D3EE9" w:rsidP="006B5F55">
      <w:pPr>
        <w:rPr>
          <w:rFonts w:ascii="Times New Roman" w:eastAsia="Times New Roman" w:hAnsi="Times New Roman" w:cs="Times New Roman"/>
          <w:sz w:val="20"/>
          <w:szCs w:val="20"/>
          <w:lang w:val="es-CL"/>
        </w:rPr>
      </w:pPr>
      <w:r w:rsidRPr="006B5F55">
        <w:rPr>
          <w:rStyle w:val="Refdenotaalpie"/>
          <w:rFonts w:ascii="Palatino Linotype" w:hAnsi="Palatino Linotype"/>
          <w:sz w:val="18"/>
        </w:rPr>
        <w:footnoteRef/>
      </w:r>
      <w:r w:rsidRPr="006B5F55">
        <w:rPr>
          <w:rFonts w:ascii="Palatino Linotype" w:hAnsi="Palatino Linotype"/>
          <w:sz w:val="18"/>
        </w:rPr>
        <w:t xml:space="preserve"> Sergio, U. (2012). La rentabilidad de la educación superior en Chile: revisión de las bases de 30 años de políticas públicas. Estudios Públicos, (125), 2-52.</w:t>
      </w:r>
    </w:p>
  </w:footnote>
  <w:footnote w:id="20">
    <w:p w14:paraId="18B090AE" w14:textId="717BEADA" w:rsidR="005D3EE9" w:rsidRPr="005240A2" w:rsidRDefault="005D3EE9">
      <w:pPr>
        <w:pStyle w:val="Textonotapie"/>
        <w:rPr>
          <w:rFonts w:ascii="Palatino Linotype" w:hAnsi="Palatino Linotype"/>
        </w:rPr>
      </w:pPr>
      <w:r w:rsidRPr="005240A2">
        <w:rPr>
          <w:rStyle w:val="Refdenotaalpie"/>
          <w:rFonts w:ascii="Palatino Linotype" w:hAnsi="Palatino Linotype"/>
          <w:sz w:val="18"/>
        </w:rPr>
        <w:footnoteRef/>
      </w:r>
      <w:r w:rsidRPr="005240A2">
        <w:rPr>
          <w:rFonts w:ascii="Palatino Linotype" w:hAnsi="Palatino Linotype"/>
          <w:sz w:val="18"/>
        </w:rPr>
        <w:t xml:space="preserve"> El sistema de créditos se implementó en Inglaterra y Gales. En adelante, cuando se hable del sistema en Inglaterra, también se estará considerando a Gales.</w:t>
      </w:r>
    </w:p>
  </w:footnote>
  <w:footnote w:id="21">
    <w:p w14:paraId="6CFDF674" w14:textId="35A38995" w:rsidR="005D3EE9" w:rsidRPr="005D3EE9" w:rsidRDefault="005D3EE9" w:rsidP="002E250B">
      <w:pPr>
        <w:jc w:val="both"/>
        <w:rPr>
          <w:rFonts w:ascii="Times New Roman" w:eastAsia="Times New Roman" w:hAnsi="Times New Roman" w:cs="Times New Roman"/>
          <w:sz w:val="20"/>
          <w:szCs w:val="20"/>
          <w:lang w:val="en-US"/>
        </w:rPr>
      </w:pPr>
      <w:r w:rsidRPr="00926E45">
        <w:rPr>
          <w:rStyle w:val="Refdenotaalpie"/>
          <w:rFonts w:ascii="Palatino Linotype" w:hAnsi="Palatino Linotype"/>
          <w:sz w:val="18"/>
        </w:rPr>
        <w:footnoteRef/>
      </w:r>
      <w:r w:rsidRPr="005D3EE9">
        <w:rPr>
          <w:lang w:val="en-US"/>
        </w:rPr>
        <w:t xml:space="preserve"> </w:t>
      </w:r>
      <w:r w:rsidRPr="005D3EE9">
        <w:rPr>
          <w:rFonts w:ascii="Palatino Linotype" w:hAnsi="Palatino Linotype"/>
          <w:sz w:val="18"/>
          <w:szCs w:val="18"/>
          <w:lang w:val="en-US"/>
        </w:rPr>
        <w:t xml:space="preserve">Fuente: </w:t>
      </w:r>
      <w:r w:rsidRPr="005D3EE9">
        <w:rPr>
          <w:rFonts w:ascii="Palatino Linotype" w:eastAsia="Times New Roman" w:hAnsi="Palatino Linotype" w:cs="Arial"/>
          <w:color w:val="222222"/>
          <w:sz w:val="18"/>
          <w:szCs w:val="18"/>
          <w:shd w:val="clear" w:color="auto" w:fill="FFFFFF"/>
          <w:lang w:val="en-US"/>
        </w:rPr>
        <w:t>Chapman, B. (2016). Income contingent loans in higher education financing. IZA World of Labor.</w:t>
      </w:r>
    </w:p>
  </w:footnote>
  <w:footnote w:id="22">
    <w:p w14:paraId="59CF1BB4" w14:textId="6E9183ED" w:rsidR="005D3EE9" w:rsidRPr="005D3EE9" w:rsidRDefault="005D3EE9" w:rsidP="002E250B">
      <w:pPr>
        <w:pStyle w:val="Textonotapie"/>
        <w:jc w:val="both"/>
        <w:rPr>
          <w:rFonts w:ascii="Palatino Linotype" w:hAnsi="Palatino Linotype"/>
          <w:lang w:val="en-US"/>
        </w:rPr>
      </w:pPr>
      <w:r w:rsidRPr="007E7952">
        <w:rPr>
          <w:rStyle w:val="Refdenotaalpie"/>
          <w:rFonts w:ascii="Palatino Linotype" w:hAnsi="Palatino Linotype"/>
          <w:sz w:val="18"/>
        </w:rPr>
        <w:footnoteRef/>
      </w:r>
      <w:r w:rsidRPr="005D3EE9">
        <w:rPr>
          <w:rFonts w:ascii="Palatino Linotype" w:hAnsi="Palatino Linotype"/>
          <w:sz w:val="18"/>
          <w:lang w:val="en-US"/>
        </w:rPr>
        <w:t xml:space="preserve"> Fuente: </w:t>
      </w:r>
      <w:r w:rsidRPr="005D3EE9">
        <w:rPr>
          <w:rFonts w:ascii="Palatino Linotype" w:eastAsia="Times New Roman" w:hAnsi="Palatino Linotype" w:cs="Arial"/>
          <w:color w:val="222222"/>
          <w:sz w:val="18"/>
          <w:szCs w:val="18"/>
          <w:shd w:val="clear" w:color="auto" w:fill="FFFFFF"/>
          <w:lang w:val="en-US"/>
        </w:rPr>
        <w:t>Barr, N., Chapman, B., Dearden, L., &amp; Dynarski, S. (2017). Getting student financing right in the US: lessons from Australia and England. </w:t>
      </w:r>
      <w:r w:rsidRPr="005D3EE9">
        <w:rPr>
          <w:rFonts w:ascii="Palatino Linotype" w:eastAsia="Times New Roman" w:hAnsi="Palatino Linotype" w:cs="Arial"/>
          <w:i/>
          <w:iCs/>
          <w:color w:val="222222"/>
          <w:sz w:val="18"/>
          <w:szCs w:val="18"/>
          <w:shd w:val="clear" w:color="auto" w:fill="FFFFFF"/>
          <w:lang w:val="en-US"/>
        </w:rPr>
        <w:t>Centre for Global Higher Education Working Paper</w:t>
      </w:r>
      <w:r w:rsidRPr="005D3EE9">
        <w:rPr>
          <w:rFonts w:ascii="Palatino Linotype" w:eastAsia="Times New Roman" w:hAnsi="Palatino Linotype" w:cs="Arial"/>
          <w:color w:val="222222"/>
          <w:sz w:val="18"/>
          <w:szCs w:val="18"/>
          <w:shd w:val="clear" w:color="auto" w:fill="FFFFFF"/>
          <w:lang w:val="en-US"/>
        </w:rPr>
        <w:t>, </w:t>
      </w:r>
      <w:r w:rsidRPr="005D3EE9">
        <w:rPr>
          <w:rFonts w:ascii="Palatino Linotype" w:eastAsia="Times New Roman" w:hAnsi="Palatino Linotype" w:cs="Arial"/>
          <w:i/>
          <w:iCs/>
          <w:color w:val="222222"/>
          <w:sz w:val="18"/>
          <w:szCs w:val="18"/>
          <w:shd w:val="clear" w:color="auto" w:fill="FFFFFF"/>
          <w:lang w:val="en-US"/>
        </w:rPr>
        <w:t>16</w:t>
      </w:r>
      <w:r w:rsidRPr="005D3EE9">
        <w:rPr>
          <w:rFonts w:ascii="Palatino Linotype" w:eastAsia="Times New Roman" w:hAnsi="Palatino Linotype" w:cs="Arial"/>
          <w:color w:val="222222"/>
          <w:sz w:val="18"/>
          <w:szCs w:val="18"/>
          <w:shd w:val="clear" w:color="auto" w:fill="FFFFFF"/>
          <w:lang w:val="en-US"/>
        </w:rPr>
        <w:t>.</w:t>
      </w:r>
    </w:p>
  </w:footnote>
  <w:footnote w:id="23">
    <w:p w14:paraId="6E5F5802" w14:textId="7CDB4A7C" w:rsidR="005D3EE9" w:rsidRPr="005D3EE9" w:rsidRDefault="005D3EE9">
      <w:pPr>
        <w:pStyle w:val="Textonotapie"/>
        <w:rPr>
          <w:rFonts w:ascii="Palatino Linotype" w:hAnsi="Palatino Linotype"/>
          <w:lang w:val="en-US"/>
        </w:rPr>
      </w:pPr>
      <w:r w:rsidRPr="005240A2">
        <w:rPr>
          <w:rStyle w:val="Refdenotaalpie"/>
          <w:rFonts w:ascii="Palatino Linotype" w:hAnsi="Palatino Linotype"/>
          <w:sz w:val="18"/>
        </w:rPr>
        <w:footnoteRef/>
      </w:r>
      <w:r w:rsidRPr="005D3EE9">
        <w:rPr>
          <w:rFonts w:ascii="Palatino Linotype" w:hAnsi="Palatino Linotype"/>
          <w:sz w:val="18"/>
          <w:lang w:val="en-US"/>
        </w:rPr>
        <w:t xml:space="preserve"> En estricto rigor, corresponde a 21.000 libras esterlinas. </w:t>
      </w:r>
    </w:p>
  </w:footnote>
  <w:footnote w:id="24">
    <w:p w14:paraId="27B49EF1" w14:textId="4670C047" w:rsidR="005D3EE9" w:rsidRPr="005D3EE9" w:rsidRDefault="005D3EE9">
      <w:pPr>
        <w:pStyle w:val="Textonotapie"/>
        <w:rPr>
          <w:rFonts w:ascii="Palatino Linotype" w:hAnsi="Palatino Linotype"/>
          <w:sz w:val="18"/>
          <w:lang w:val="en-US"/>
        </w:rPr>
      </w:pPr>
      <w:r w:rsidRPr="0061672D">
        <w:rPr>
          <w:rStyle w:val="Refdenotaalpie"/>
          <w:rFonts w:ascii="Palatino Linotype" w:hAnsi="Palatino Linotype"/>
          <w:sz w:val="18"/>
        </w:rPr>
        <w:footnoteRef/>
      </w:r>
      <w:r w:rsidRPr="005D3EE9">
        <w:rPr>
          <w:rFonts w:ascii="Palatino Linotype" w:hAnsi="Palatino Linotype"/>
          <w:sz w:val="18"/>
          <w:lang w:val="en-US"/>
        </w:rPr>
        <w:t xml:space="preserve"> Joseph E. Stiglitz (2014), “Remarks on income contingent loans mitigating risk” in Bruce Chapman, Timothy Higgins and Joseph E. Stiglitz (eds), </w:t>
      </w:r>
      <w:r w:rsidRPr="005D3EE9">
        <w:rPr>
          <w:rFonts w:ascii="Palatino Linotype" w:hAnsi="Palatino Linotype"/>
          <w:i/>
          <w:iCs/>
          <w:sz w:val="18"/>
          <w:lang w:val="en-US"/>
        </w:rPr>
        <w:t xml:space="preserve">Income Contingent loans: Theory, practice and prospects, </w:t>
      </w:r>
      <w:r w:rsidRPr="005D3EE9">
        <w:rPr>
          <w:rFonts w:ascii="Palatino Linotype" w:hAnsi="Palatino Linotype"/>
          <w:sz w:val="18"/>
          <w:lang w:val="en-US"/>
        </w:rPr>
        <w:t xml:space="preserve">Palgrave McMillan; New York: 29-37. </w:t>
      </w:r>
    </w:p>
  </w:footnote>
  <w:footnote w:id="25">
    <w:p w14:paraId="11F6B2EF" w14:textId="39B50F00" w:rsidR="005D3EE9" w:rsidRPr="005D3EE9" w:rsidRDefault="005D3EE9">
      <w:pPr>
        <w:pStyle w:val="Textonotapie"/>
        <w:rPr>
          <w:rFonts w:ascii="Palatino Linotype" w:hAnsi="Palatino Linotype"/>
          <w:sz w:val="18"/>
          <w:lang w:val="en-US"/>
        </w:rPr>
      </w:pPr>
      <w:r w:rsidRPr="00E61362">
        <w:rPr>
          <w:rStyle w:val="Refdenotaalpie"/>
          <w:rFonts w:ascii="Palatino Linotype" w:hAnsi="Palatino Linotype"/>
          <w:sz w:val="18"/>
        </w:rPr>
        <w:footnoteRef/>
      </w:r>
      <w:r w:rsidRPr="005D3EE9">
        <w:rPr>
          <w:rFonts w:ascii="Palatino Linotype" w:hAnsi="Palatino Linotype"/>
          <w:sz w:val="18"/>
          <w:lang w:val="en-US"/>
        </w:rPr>
        <w:t xml:space="preserve"> Chapman, B., T. Higgins, and J. E. Stiglitz. </w:t>
      </w:r>
      <w:r w:rsidRPr="005D3EE9">
        <w:rPr>
          <w:rFonts w:ascii="Palatino Linotype" w:hAnsi="Palatino Linotype"/>
          <w:i/>
          <w:iCs/>
          <w:sz w:val="18"/>
          <w:lang w:val="en-US"/>
        </w:rPr>
        <w:t>Income Contingent Loans: Theory, Practice and Prospects</w:t>
      </w:r>
      <w:r w:rsidRPr="005D3EE9">
        <w:rPr>
          <w:rFonts w:ascii="Palatino Linotype" w:hAnsi="Palatino Linotype"/>
          <w:sz w:val="18"/>
          <w:lang w:val="en-US"/>
        </w:rPr>
        <w:t xml:space="preserve">.  London: Palgrave McMillan, 2006. </w:t>
      </w:r>
    </w:p>
  </w:footnote>
  <w:footnote w:id="26">
    <w:p w14:paraId="7A83AEDA" w14:textId="77777777" w:rsidR="005D3EE9" w:rsidRPr="005D3EE9" w:rsidRDefault="005D3EE9" w:rsidP="00BF0D72">
      <w:pPr>
        <w:pStyle w:val="Textonotapie"/>
        <w:rPr>
          <w:rFonts w:ascii="Palatino Linotype" w:hAnsi="Palatino Linotype"/>
          <w:sz w:val="18"/>
          <w:lang w:val="en-US"/>
        </w:rPr>
      </w:pPr>
      <w:r w:rsidRPr="00BF0D72">
        <w:rPr>
          <w:rStyle w:val="Refdenotaalpie"/>
          <w:rFonts w:ascii="Palatino Linotype" w:hAnsi="Palatino Linotype"/>
          <w:sz w:val="18"/>
        </w:rPr>
        <w:footnoteRef/>
      </w:r>
      <w:r w:rsidRPr="005D3EE9">
        <w:rPr>
          <w:rFonts w:ascii="Palatino Linotype" w:hAnsi="Palatino Linotype"/>
          <w:sz w:val="18"/>
          <w:lang w:val="en-US"/>
        </w:rPr>
        <w:t xml:space="preserve"> Hackett, L. </w:t>
      </w:r>
      <w:r w:rsidRPr="005D3EE9">
        <w:rPr>
          <w:rFonts w:ascii="Palatino Linotype" w:hAnsi="Palatino Linotype"/>
          <w:i/>
          <w:iCs/>
          <w:sz w:val="18"/>
          <w:lang w:val="en-US"/>
        </w:rPr>
        <w:t xml:space="preserve">HELP from Down Under? </w:t>
      </w:r>
      <w:r w:rsidRPr="005D3EE9">
        <w:rPr>
          <w:rFonts w:ascii="Palatino Linotype" w:hAnsi="Palatino Linotype"/>
          <w:sz w:val="18"/>
          <w:lang w:val="en-US"/>
        </w:rPr>
        <w:t>University Alliance Working Paper, 2014.  </w:t>
      </w:r>
    </w:p>
    <w:p w14:paraId="01107F63" w14:textId="50A6ABA7" w:rsidR="005D3EE9" w:rsidRPr="005D3EE9" w:rsidRDefault="005D3EE9">
      <w:pPr>
        <w:pStyle w:val="Textonotapie"/>
        <w:rPr>
          <w:lang w:val="en-US"/>
        </w:rPr>
      </w:pPr>
    </w:p>
  </w:footnote>
  <w:footnote w:id="27">
    <w:p w14:paraId="76A4E887" w14:textId="77777777" w:rsidR="005D3EE9" w:rsidRPr="00324BE4" w:rsidRDefault="005D3EE9" w:rsidP="00BB328F">
      <w:pPr>
        <w:rPr>
          <w:rFonts w:ascii="Palatino Linotype" w:eastAsia="Times New Roman" w:hAnsi="Palatino Linotype" w:cs="Times New Roman"/>
          <w:sz w:val="18"/>
          <w:szCs w:val="18"/>
          <w:lang w:val="es-CL"/>
        </w:rPr>
      </w:pPr>
      <w:r w:rsidRPr="00324BE4">
        <w:rPr>
          <w:rStyle w:val="Refdenotaalpie"/>
          <w:rFonts w:ascii="Palatino Linotype" w:hAnsi="Palatino Linotype"/>
          <w:sz w:val="18"/>
          <w:szCs w:val="18"/>
        </w:rPr>
        <w:footnoteRef/>
      </w:r>
      <w:r w:rsidRPr="00324BE4">
        <w:rPr>
          <w:rFonts w:ascii="Palatino Linotype" w:hAnsi="Palatino Linotype"/>
          <w:sz w:val="18"/>
          <w:szCs w:val="18"/>
        </w:rPr>
        <w:t xml:space="preserve"> De acuerdo a </w:t>
      </w:r>
      <w:r w:rsidRPr="00324BE4">
        <w:rPr>
          <w:rFonts w:ascii="Palatino Linotype" w:eastAsia="Times New Roman" w:hAnsi="Palatino Linotype" w:cs="Arial"/>
          <w:color w:val="222222"/>
          <w:sz w:val="18"/>
          <w:szCs w:val="18"/>
          <w:shd w:val="clear" w:color="auto" w:fill="FFFFFF"/>
          <w:lang w:val="es-CL"/>
        </w:rPr>
        <w:t xml:space="preserve">Barr, N., Chapman, B., Dearden, L., &amp; Dynarski, S. (2017). </w:t>
      </w:r>
      <w:r w:rsidRPr="005D3EE9">
        <w:rPr>
          <w:rFonts w:ascii="Palatino Linotype" w:eastAsia="Times New Roman" w:hAnsi="Palatino Linotype" w:cs="Arial"/>
          <w:color w:val="222222"/>
          <w:sz w:val="18"/>
          <w:szCs w:val="18"/>
          <w:shd w:val="clear" w:color="auto" w:fill="FFFFFF"/>
          <w:lang w:val="en-US"/>
        </w:rPr>
        <w:t>Getting student financing right in the US: lessons from Australia and England. </w:t>
      </w:r>
      <w:r w:rsidRPr="00324BE4">
        <w:rPr>
          <w:rFonts w:ascii="Palatino Linotype" w:eastAsia="Times New Roman" w:hAnsi="Palatino Linotype" w:cs="Arial"/>
          <w:i/>
          <w:iCs/>
          <w:color w:val="222222"/>
          <w:sz w:val="18"/>
          <w:szCs w:val="18"/>
          <w:shd w:val="clear" w:color="auto" w:fill="FFFFFF"/>
          <w:lang w:val="es-CL"/>
        </w:rPr>
        <w:t>Centre for Global Higher Education Working Paper</w:t>
      </w:r>
      <w:r w:rsidRPr="00324BE4">
        <w:rPr>
          <w:rFonts w:ascii="Palatino Linotype" w:eastAsia="Times New Roman" w:hAnsi="Palatino Linotype" w:cs="Arial"/>
          <w:color w:val="222222"/>
          <w:sz w:val="18"/>
          <w:szCs w:val="18"/>
          <w:shd w:val="clear" w:color="auto" w:fill="FFFFFF"/>
          <w:lang w:val="es-CL"/>
        </w:rPr>
        <w:t>, </w:t>
      </w:r>
      <w:r w:rsidRPr="00324BE4">
        <w:rPr>
          <w:rFonts w:ascii="Palatino Linotype" w:eastAsia="Times New Roman" w:hAnsi="Palatino Linotype" w:cs="Arial"/>
          <w:i/>
          <w:iCs/>
          <w:color w:val="222222"/>
          <w:sz w:val="18"/>
          <w:szCs w:val="18"/>
          <w:shd w:val="clear" w:color="auto" w:fill="FFFFFF"/>
          <w:lang w:val="es-CL"/>
        </w:rPr>
        <w:t>16</w:t>
      </w:r>
      <w:r w:rsidRPr="00324BE4">
        <w:rPr>
          <w:rFonts w:ascii="Palatino Linotype" w:eastAsia="Times New Roman" w:hAnsi="Palatino Linotype" w:cs="Arial"/>
          <w:color w:val="222222"/>
          <w:sz w:val="18"/>
          <w:szCs w:val="18"/>
          <w:shd w:val="clear" w:color="auto" w:fill="FFFFFF"/>
          <w:lang w:val="es-CL"/>
        </w:rPr>
        <w:t>.</w:t>
      </w:r>
    </w:p>
  </w:footnote>
  <w:footnote w:id="28">
    <w:p w14:paraId="727FBEEE" w14:textId="0F19E117" w:rsidR="005D3EE9" w:rsidRPr="00BC117D" w:rsidRDefault="005D3EE9">
      <w:pPr>
        <w:pStyle w:val="Textonotapie"/>
        <w:rPr>
          <w:rFonts w:ascii="Palatino Linotype" w:hAnsi="Palatino Linotype"/>
        </w:rPr>
      </w:pPr>
      <w:r w:rsidRPr="00BC117D">
        <w:rPr>
          <w:rStyle w:val="Refdenotaalpie"/>
          <w:rFonts w:ascii="Palatino Linotype" w:hAnsi="Palatino Linotype"/>
          <w:sz w:val="18"/>
        </w:rPr>
        <w:footnoteRef/>
      </w:r>
      <w:r w:rsidRPr="00BC117D">
        <w:rPr>
          <w:rFonts w:ascii="Palatino Linotype" w:hAnsi="Palatino Linotype"/>
          <w:sz w:val="18"/>
        </w:rPr>
        <w:t xml:space="preserve"> Ver casos de Australia e Inglaterra, en la sección anterior.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ítulo"/>
      <w:id w:val="77547040"/>
      <w:dataBinding w:prefixMappings="xmlns:ns0='http://schemas.openxmlformats.org/package/2006/metadata/core-properties' xmlns:ns1='http://purl.org/dc/elements/1.1/'" w:xpath="/ns0:coreProperties[1]/ns1:title[1]" w:storeItemID="{6C3C8BC8-F283-45AE-878A-BAB7291924A1}"/>
      <w:text/>
    </w:sdtPr>
    <w:sdtContent>
      <w:p w14:paraId="2C5201E0" w14:textId="588F25D1" w:rsidR="005D3EE9" w:rsidRDefault="005D3EE9">
        <w:pPr>
          <w:pStyle w:val="Encabezado"/>
          <w:pBdr>
            <w:between w:val="single" w:sz="4" w:space="1" w:color="4F81BD" w:themeColor="accent1"/>
          </w:pBdr>
          <w:spacing w:line="276" w:lineRule="auto"/>
          <w:jc w:val="center"/>
          <w:rPr>
            <w:rFonts w:ascii="Cambria" w:hAnsi="Cambria"/>
          </w:rPr>
        </w:pPr>
        <w:r>
          <w:rPr>
            <w:rFonts w:ascii="Cambria" w:hAnsi="Cambria"/>
            <w:lang w:val="es-ES"/>
          </w:rPr>
          <w:t>Financiamiento a la Educación Superior</w:t>
        </w:r>
      </w:p>
    </w:sdtContent>
  </w:sdt>
  <w:sdt>
    <w:sdtPr>
      <w:rPr>
        <w:rFonts w:ascii="Cambria" w:hAnsi="Cambria"/>
      </w:rPr>
      <w:alias w:val="Fecha"/>
      <w:id w:val="77547044"/>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14:paraId="611EB794" w14:textId="0F13E921" w:rsidR="005D3EE9" w:rsidRDefault="005D3EE9">
        <w:pPr>
          <w:pStyle w:val="Encabezado"/>
          <w:pBdr>
            <w:between w:val="single" w:sz="4" w:space="1" w:color="4F81BD" w:themeColor="accent1"/>
          </w:pBdr>
          <w:spacing w:line="276" w:lineRule="auto"/>
          <w:jc w:val="center"/>
          <w:rPr>
            <w:rFonts w:ascii="Cambria" w:hAnsi="Cambria"/>
          </w:rPr>
        </w:pPr>
        <w:r>
          <w:rPr>
            <w:rFonts w:ascii="Cambria" w:hAnsi="Cambria"/>
            <w:lang w:val="es-ES"/>
          </w:rPr>
          <w:t>Junio de 2018</w:t>
        </w:r>
      </w:p>
    </w:sdtContent>
  </w:sdt>
  <w:p w14:paraId="3F94F36D" w14:textId="5024BC20" w:rsidR="005D3EE9" w:rsidRDefault="005D3EE9" w:rsidP="008C66CD">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AB89E" w14:textId="59E84166" w:rsidR="005D3EE9" w:rsidRDefault="005D3EE9">
    <w:pPr>
      <w:pStyle w:val="Encabezado"/>
      <w:pBdr>
        <w:between w:val="single" w:sz="4" w:space="1" w:color="4F81BD" w:themeColor="accent1"/>
      </w:pBdr>
      <w:spacing w:line="276" w:lineRule="auto"/>
      <w:jc w:val="center"/>
      <w:rPr>
        <w:rFonts w:ascii="Cambria" w:hAnsi="Cambria"/>
      </w:rPr>
    </w:pPr>
    <w:sdt>
      <w:sdtPr>
        <w:rPr>
          <w:rFonts w:ascii="Cambria" w:hAnsi="Cambria"/>
        </w:rPr>
        <w:alias w:val="Título"/>
        <w:id w:val="-1999332904"/>
        <w:dataBinding w:prefixMappings="xmlns:ns0='http://schemas.openxmlformats.org/package/2006/metadata/core-properties' xmlns:ns1='http://purl.org/dc/elements/1.1/'" w:xpath="/ns0:coreProperties[1]/ns1:title[1]" w:storeItemID="{6C3C8BC8-F283-45AE-878A-BAB7291924A1}"/>
        <w:text/>
      </w:sdtPr>
      <w:sdtContent>
        <w:r>
          <w:rPr>
            <w:rFonts w:ascii="Cambria" w:hAnsi="Cambria"/>
            <w:lang w:val="es-ES"/>
          </w:rPr>
          <w:t>Financiamiento a la Educación Superior</w:t>
        </w:r>
      </w:sdtContent>
    </w:sdt>
  </w:p>
  <w:sdt>
    <w:sdtPr>
      <w:rPr>
        <w:rFonts w:ascii="Cambria" w:hAnsi="Cambria"/>
      </w:rPr>
      <w:alias w:val="Fecha"/>
      <w:id w:val="1667284291"/>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14:paraId="2FF92FA9" w14:textId="74D2205D" w:rsidR="005D3EE9" w:rsidRDefault="005D3EE9">
        <w:pPr>
          <w:pStyle w:val="Encabezado"/>
          <w:pBdr>
            <w:between w:val="single" w:sz="4" w:space="1" w:color="4F81BD" w:themeColor="accent1"/>
          </w:pBdr>
          <w:spacing w:line="276" w:lineRule="auto"/>
          <w:jc w:val="center"/>
          <w:rPr>
            <w:rFonts w:ascii="Cambria" w:hAnsi="Cambria"/>
          </w:rPr>
        </w:pPr>
        <w:r>
          <w:rPr>
            <w:rFonts w:ascii="Cambria" w:hAnsi="Cambria"/>
            <w:lang w:val="es-ES"/>
          </w:rPr>
          <w:t>Junio de 2018</w:t>
        </w:r>
      </w:p>
    </w:sdtContent>
  </w:sdt>
  <w:p w14:paraId="7753D7A7" w14:textId="77777777" w:rsidR="005D3EE9" w:rsidRDefault="005D3E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B10AAC"/>
    <w:multiLevelType w:val="hybridMultilevel"/>
    <w:tmpl w:val="1E0C3B94"/>
    <w:lvl w:ilvl="0" w:tplc="73C81BCE">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5">
    <w:nsid w:val="0F6A02A7"/>
    <w:multiLevelType w:val="hybridMultilevel"/>
    <w:tmpl w:val="C428D3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4860372"/>
    <w:multiLevelType w:val="hybridMultilevel"/>
    <w:tmpl w:val="A970D8E0"/>
    <w:lvl w:ilvl="0" w:tplc="EDC68436">
      <w:start w:val="1"/>
      <w:numFmt w:val="lowerLetter"/>
      <w:lvlText w:val="%1)"/>
      <w:lvlJc w:val="left"/>
      <w:pPr>
        <w:ind w:left="1060" w:hanging="360"/>
      </w:pPr>
      <w:rPr>
        <w:rFonts w:hint="default"/>
      </w:rPr>
    </w:lvl>
    <w:lvl w:ilvl="1" w:tplc="0C0A0019">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7">
    <w:nsid w:val="21BF477A"/>
    <w:multiLevelType w:val="hybridMultilevel"/>
    <w:tmpl w:val="1EB8C550"/>
    <w:lvl w:ilvl="0" w:tplc="73C81BCE">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8">
    <w:nsid w:val="2AB478AF"/>
    <w:multiLevelType w:val="hybridMultilevel"/>
    <w:tmpl w:val="8456548A"/>
    <w:lvl w:ilvl="0" w:tplc="767E4C2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BC26472"/>
    <w:multiLevelType w:val="hybridMultilevel"/>
    <w:tmpl w:val="59AEE9DC"/>
    <w:lvl w:ilvl="0" w:tplc="CEC0242E">
      <w:start w:val="2"/>
      <w:numFmt w:val="lowerRoman"/>
      <w:lvlText w:val="%1)"/>
      <w:lvlJc w:val="left"/>
      <w:pPr>
        <w:ind w:left="1080" w:hanging="720"/>
      </w:pPr>
      <w:rPr>
        <w:rFonts w:ascii="Palatino Linotype" w:eastAsiaTheme="majorEastAsia" w:hAnsi="Palatino Linotype" w:cstheme="majorBidi" w:hint="default"/>
        <w:b/>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C4764F"/>
    <w:multiLevelType w:val="hybridMultilevel"/>
    <w:tmpl w:val="64E87A94"/>
    <w:lvl w:ilvl="0" w:tplc="7E227DF4">
      <w:start w:val="1"/>
      <w:numFmt w:val="upperRoman"/>
      <w:lvlText w:val="%1)"/>
      <w:lvlJc w:val="left"/>
      <w:pPr>
        <w:ind w:left="1080" w:hanging="720"/>
      </w:pPr>
      <w:rPr>
        <w:rFonts w:ascii="Palatino Linotype" w:hAnsi="Palatino Linotype" w:hint="default"/>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260740"/>
    <w:multiLevelType w:val="hybridMultilevel"/>
    <w:tmpl w:val="59AEE9DC"/>
    <w:lvl w:ilvl="0" w:tplc="CEC0242E">
      <w:start w:val="2"/>
      <w:numFmt w:val="lowerRoman"/>
      <w:lvlText w:val="%1)"/>
      <w:lvlJc w:val="left"/>
      <w:pPr>
        <w:ind w:left="1080" w:hanging="720"/>
      </w:pPr>
      <w:rPr>
        <w:rFonts w:ascii="Palatino Linotype" w:eastAsiaTheme="majorEastAsia" w:hAnsi="Palatino Linotype" w:cstheme="majorBidi" w:hint="default"/>
        <w:b/>
        <w:sz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0F25223"/>
    <w:multiLevelType w:val="hybridMultilevel"/>
    <w:tmpl w:val="1504BB18"/>
    <w:lvl w:ilvl="0" w:tplc="32D69C7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35422CF"/>
    <w:multiLevelType w:val="hybridMultilevel"/>
    <w:tmpl w:val="8DE077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E7912CC"/>
    <w:multiLevelType w:val="hybridMultilevel"/>
    <w:tmpl w:val="BB901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2547A67"/>
    <w:multiLevelType w:val="hybridMultilevel"/>
    <w:tmpl w:val="18CA6E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D4648A"/>
    <w:multiLevelType w:val="hybridMultilevel"/>
    <w:tmpl w:val="1E0C3B94"/>
    <w:lvl w:ilvl="0" w:tplc="73C81BCE">
      <w:start w:val="1"/>
      <w:numFmt w:val="lowerLetter"/>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17">
    <w:nsid w:val="69095E09"/>
    <w:multiLevelType w:val="hybridMultilevel"/>
    <w:tmpl w:val="8C482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97E3178"/>
    <w:multiLevelType w:val="hybridMultilevel"/>
    <w:tmpl w:val="308CBC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9AC05E7"/>
    <w:multiLevelType w:val="hybridMultilevel"/>
    <w:tmpl w:val="3B80F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8"/>
  </w:num>
  <w:num w:numId="5">
    <w:abstractNumId w:val="1"/>
  </w:num>
  <w:num w:numId="6">
    <w:abstractNumId w:val="2"/>
  </w:num>
  <w:num w:numId="7">
    <w:abstractNumId w:val="3"/>
  </w:num>
  <w:num w:numId="8">
    <w:abstractNumId w:val="17"/>
  </w:num>
  <w:num w:numId="9">
    <w:abstractNumId w:val="14"/>
  </w:num>
  <w:num w:numId="10">
    <w:abstractNumId w:val="12"/>
  </w:num>
  <w:num w:numId="11">
    <w:abstractNumId w:val="11"/>
  </w:num>
  <w:num w:numId="12">
    <w:abstractNumId w:val="8"/>
  </w:num>
  <w:num w:numId="13">
    <w:abstractNumId w:val="9"/>
  </w:num>
  <w:num w:numId="14">
    <w:abstractNumId w:val="10"/>
  </w:num>
  <w:num w:numId="15">
    <w:abstractNumId w:val="6"/>
  </w:num>
  <w:num w:numId="16">
    <w:abstractNumId w:val="16"/>
  </w:num>
  <w:num w:numId="17">
    <w:abstractNumId w:val="7"/>
  </w:num>
  <w:num w:numId="18">
    <w:abstractNumId w:val="4"/>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07"/>
    <w:rsid w:val="000009E0"/>
    <w:rsid w:val="00001387"/>
    <w:rsid w:val="00012B9D"/>
    <w:rsid w:val="0001476E"/>
    <w:rsid w:val="0004366E"/>
    <w:rsid w:val="000524D9"/>
    <w:rsid w:val="00054225"/>
    <w:rsid w:val="000555B1"/>
    <w:rsid w:val="00063445"/>
    <w:rsid w:val="00065166"/>
    <w:rsid w:val="000710C2"/>
    <w:rsid w:val="000A1815"/>
    <w:rsid w:val="000B7DF3"/>
    <w:rsid w:val="000C21F1"/>
    <w:rsid w:val="000C7ECA"/>
    <w:rsid w:val="000D11BE"/>
    <w:rsid w:val="000D5120"/>
    <w:rsid w:val="000D74CB"/>
    <w:rsid w:val="000E08CF"/>
    <w:rsid w:val="000F35C1"/>
    <w:rsid w:val="00102FD4"/>
    <w:rsid w:val="00112387"/>
    <w:rsid w:val="001403D1"/>
    <w:rsid w:val="0014356E"/>
    <w:rsid w:val="00150A76"/>
    <w:rsid w:val="00153737"/>
    <w:rsid w:val="001632EB"/>
    <w:rsid w:val="00165DE5"/>
    <w:rsid w:val="0016644D"/>
    <w:rsid w:val="001735E6"/>
    <w:rsid w:val="00175DC1"/>
    <w:rsid w:val="001928BB"/>
    <w:rsid w:val="001B03F8"/>
    <w:rsid w:val="001C67EA"/>
    <w:rsid w:val="001D0AAF"/>
    <w:rsid w:val="001D1D42"/>
    <w:rsid w:val="001E3498"/>
    <w:rsid w:val="001F531A"/>
    <w:rsid w:val="001F7CAC"/>
    <w:rsid w:val="00200069"/>
    <w:rsid w:val="00217E3B"/>
    <w:rsid w:val="0022268C"/>
    <w:rsid w:val="00234B26"/>
    <w:rsid w:val="0023565A"/>
    <w:rsid w:val="00255D5D"/>
    <w:rsid w:val="00257885"/>
    <w:rsid w:val="00270635"/>
    <w:rsid w:val="00274662"/>
    <w:rsid w:val="00280BC8"/>
    <w:rsid w:val="002B1EB8"/>
    <w:rsid w:val="002C58F1"/>
    <w:rsid w:val="002E0827"/>
    <w:rsid w:val="002E250B"/>
    <w:rsid w:val="002E6A59"/>
    <w:rsid w:val="0030226F"/>
    <w:rsid w:val="00304285"/>
    <w:rsid w:val="003132D4"/>
    <w:rsid w:val="00313A81"/>
    <w:rsid w:val="00314AE7"/>
    <w:rsid w:val="00324BE4"/>
    <w:rsid w:val="00327120"/>
    <w:rsid w:val="00351671"/>
    <w:rsid w:val="00370049"/>
    <w:rsid w:val="00374FD7"/>
    <w:rsid w:val="00377F21"/>
    <w:rsid w:val="00382107"/>
    <w:rsid w:val="0039174D"/>
    <w:rsid w:val="003A1D38"/>
    <w:rsid w:val="003B16DE"/>
    <w:rsid w:val="003C301C"/>
    <w:rsid w:val="003C52D7"/>
    <w:rsid w:val="003C5FD8"/>
    <w:rsid w:val="003D7337"/>
    <w:rsid w:val="00414D10"/>
    <w:rsid w:val="00416B07"/>
    <w:rsid w:val="00427A63"/>
    <w:rsid w:val="0043003E"/>
    <w:rsid w:val="0043145E"/>
    <w:rsid w:val="00441961"/>
    <w:rsid w:val="00464B54"/>
    <w:rsid w:val="004764C6"/>
    <w:rsid w:val="004B3E41"/>
    <w:rsid w:val="004C4802"/>
    <w:rsid w:val="004D75AF"/>
    <w:rsid w:val="004D76C6"/>
    <w:rsid w:val="004E59EE"/>
    <w:rsid w:val="004F3588"/>
    <w:rsid w:val="004F7BF1"/>
    <w:rsid w:val="00502371"/>
    <w:rsid w:val="0050478A"/>
    <w:rsid w:val="00513611"/>
    <w:rsid w:val="005160A2"/>
    <w:rsid w:val="005240A2"/>
    <w:rsid w:val="005315ED"/>
    <w:rsid w:val="00531968"/>
    <w:rsid w:val="0054200F"/>
    <w:rsid w:val="005437CD"/>
    <w:rsid w:val="00547382"/>
    <w:rsid w:val="00565D20"/>
    <w:rsid w:val="00573F82"/>
    <w:rsid w:val="005B6FC6"/>
    <w:rsid w:val="005C561D"/>
    <w:rsid w:val="005D2F79"/>
    <w:rsid w:val="005D3EE9"/>
    <w:rsid w:val="005D56ED"/>
    <w:rsid w:val="005E4E67"/>
    <w:rsid w:val="006013CB"/>
    <w:rsid w:val="00601A8F"/>
    <w:rsid w:val="00611356"/>
    <w:rsid w:val="006135D3"/>
    <w:rsid w:val="0061672D"/>
    <w:rsid w:val="00621036"/>
    <w:rsid w:val="00627525"/>
    <w:rsid w:val="006276FC"/>
    <w:rsid w:val="00634EFD"/>
    <w:rsid w:val="00635944"/>
    <w:rsid w:val="00673796"/>
    <w:rsid w:val="00683352"/>
    <w:rsid w:val="006A3ACD"/>
    <w:rsid w:val="006B43E0"/>
    <w:rsid w:val="006B5F55"/>
    <w:rsid w:val="006D2277"/>
    <w:rsid w:val="006E6A5F"/>
    <w:rsid w:val="0070167C"/>
    <w:rsid w:val="00702AD2"/>
    <w:rsid w:val="0070488A"/>
    <w:rsid w:val="0073250E"/>
    <w:rsid w:val="007713F3"/>
    <w:rsid w:val="007815CE"/>
    <w:rsid w:val="00781A3D"/>
    <w:rsid w:val="007C17AF"/>
    <w:rsid w:val="007E7267"/>
    <w:rsid w:val="007E7952"/>
    <w:rsid w:val="00801AE4"/>
    <w:rsid w:val="00820A0C"/>
    <w:rsid w:val="00821F12"/>
    <w:rsid w:val="00835036"/>
    <w:rsid w:val="00871876"/>
    <w:rsid w:val="008849E6"/>
    <w:rsid w:val="00887FDA"/>
    <w:rsid w:val="00890E76"/>
    <w:rsid w:val="008A41FD"/>
    <w:rsid w:val="008A72DC"/>
    <w:rsid w:val="008C66CD"/>
    <w:rsid w:val="008D4129"/>
    <w:rsid w:val="008E1562"/>
    <w:rsid w:val="008F194D"/>
    <w:rsid w:val="008F44ED"/>
    <w:rsid w:val="00910E57"/>
    <w:rsid w:val="00920D53"/>
    <w:rsid w:val="009248DD"/>
    <w:rsid w:val="00926E45"/>
    <w:rsid w:val="0093156A"/>
    <w:rsid w:val="00940514"/>
    <w:rsid w:val="00945C29"/>
    <w:rsid w:val="00950453"/>
    <w:rsid w:val="00967A08"/>
    <w:rsid w:val="00974D8D"/>
    <w:rsid w:val="009A2978"/>
    <w:rsid w:val="009C42A1"/>
    <w:rsid w:val="009D4D8E"/>
    <w:rsid w:val="009E41D3"/>
    <w:rsid w:val="009F37FB"/>
    <w:rsid w:val="00A05C77"/>
    <w:rsid w:val="00A12286"/>
    <w:rsid w:val="00A15C7B"/>
    <w:rsid w:val="00A26C3E"/>
    <w:rsid w:val="00A50D92"/>
    <w:rsid w:val="00A51476"/>
    <w:rsid w:val="00A663C1"/>
    <w:rsid w:val="00A67DC0"/>
    <w:rsid w:val="00A82247"/>
    <w:rsid w:val="00A8431F"/>
    <w:rsid w:val="00A97756"/>
    <w:rsid w:val="00AA17B3"/>
    <w:rsid w:val="00AA7024"/>
    <w:rsid w:val="00AB2F86"/>
    <w:rsid w:val="00AB332B"/>
    <w:rsid w:val="00AB6CD5"/>
    <w:rsid w:val="00AC4AF1"/>
    <w:rsid w:val="00AE18CD"/>
    <w:rsid w:val="00AE54E0"/>
    <w:rsid w:val="00AE56F5"/>
    <w:rsid w:val="00AE78E6"/>
    <w:rsid w:val="00AF192D"/>
    <w:rsid w:val="00AF4D62"/>
    <w:rsid w:val="00B03F58"/>
    <w:rsid w:val="00B05E92"/>
    <w:rsid w:val="00B07A7F"/>
    <w:rsid w:val="00B109B5"/>
    <w:rsid w:val="00B11626"/>
    <w:rsid w:val="00B2142D"/>
    <w:rsid w:val="00B40D8A"/>
    <w:rsid w:val="00B50ADD"/>
    <w:rsid w:val="00B513C9"/>
    <w:rsid w:val="00B80088"/>
    <w:rsid w:val="00B80416"/>
    <w:rsid w:val="00B96B6D"/>
    <w:rsid w:val="00B9708E"/>
    <w:rsid w:val="00BA588A"/>
    <w:rsid w:val="00BB328F"/>
    <w:rsid w:val="00BC117D"/>
    <w:rsid w:val="00BC5714"/>
    <w:rsid w:val="00BC614D"/>
    <w:rsid w:val="00BC7261"/>
    <w:rsid w:val="00BE1414"/>
    <w:rsid w:val="00BE5C52"/>
    <w:rsid w:val="00BF0D72"/>
    <w:rsid w:val="00BF5976"/>
    <w:rsid w:val="00BF6955"/>
    <w:rsid w:val="00C03829"/>
    <w:rsid w:val="00C10F76"/>
    <w:rsid w:val="00C12985"/>
    <w:rsid w:val="00C16A14"/>
    <w:rsid w:val="00C30F95"/>
    <w:rsid w:val="00C4193B"/>
    <w:rsid w:val="00C54B2E"/>
    <w:rsid w:val="00C605A1"/>
    <w:rsid w:val="00C709EC"/>
    <w:rsid w:val="00C74183"/>
    <w:rsid w:val="00C75A30"/>
    <w:rsid w:val="00C83615"/>
    <w:rsid w:val="00C9128F"/>
    <w:rsid w:val="00CA34B8"/>
    <w:rsid w:val="00CA7DF1"/>
    <w:rsid w:val="00CB55C4"/>
    <w:rsid w:val="00CC07C1"/>
    <w:rsid w:val="00CD1D7E"/>
    <w:rsid w:val="00CE4C70"/>
    <w:rsid w:val="00CF1767"/>
    <w:rsid w:val="00CF4FA2"/>
    <w:rsid w:val="00D03FD2"/>
    <w:rsid w:val="00D15EB3"/>
    <w:rsid w:val="00D17A2F"/>
    <w:rsid w:val="00D47572"/>
    <w:rsid w:val="00D54CE1"/>
    <w:rsid w:val="00D7093A"/>
    <w:rsid w:val="00D72A29"/>
    <w:rsid w:val="00D930A8"/>
    <w:rsid w:val="00D96A6F"/>
    <w:rsid w:val="00DA1C8A"/>
    <w:rsid w:val="00DA65B4"/>
    <w:rsid w:val="00DC1EC1"/>
    <w:rsid w:val="00DC22AE"/>
    <w:rsid w:val="00DC2BDC"/>
    <w:rsid w:val="00DC2E13"/>
    <w:rsid w:val="00DC60DB"/>
    <w:rsid w:val="00DD4F3F"/>
    <w:rsid w:val="00DD60FA"/>
    <w:rsid w:val="00DE1EF4"/>
    <w:rsid w:val="00DF61DD"/>
    <w:rsid w:val="00E13EA5"/>
    <w:rsid w:val="00E17FA7"/>
    <w:rsid w:val="00E2417E"/>
    <w:rsid w:val="00E24FA7"/>
    <w:rsid w:val="00E45E11"/>
    <w:rsid w:val="00E46A25"/>
    <w:rsid w:val="00E514FF"/>
    <w:rsid w:val="00E61362"/>
    <w:rsid w:val="00E66456"/>
    <w:rsid w:val="00E81907"/>
    <w:rsid w:val="00E823C4"/>
    <w:rsid w:val="00E83AFF"/>
    <w:rsid w:val="00E9090B"/>
    <w:rsid w:val="00EB3D16"/>
    <w:rsid w:val="00EC2270"/>
    <w:rsid w:val="00ED5983"/>
    <w:rsid w:val="00EE3D1D"/>
    <w:rsid w:val="00EF067C"/>
    <w:rsid w:val="00F034A5"/>
    <w:rsid w:val="00F168CA"/>
    <w:rsid w:val="00F205DF"/>
    <w:rsid w:val="00F369FD"/>
    <w:rsid w:val="00F51C4B"/>
    <w:rsid w:val="00F5464D"/>
    <w:rsid w:val="00F61B06"/>
    <w:rsid w:val="00F6502C"/>
    <w:rsid w:val="00FA02DE"/>
    <w:rsid w:val="00FC5E20"/>
    <w:rsid w:val="00FF3F51"/>
    <w:rsid w:val="00FF5B65"/>
    <w:rsid w:val="00FF691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4E9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21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82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21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107"/>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3821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210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382107"/>
    <w:pPr>
      <w:spacing w:line="276" w:lineRule="auto"/>
      <w:outlineLvl w:val="9"/>
    </w:pPr>
    <w:rPr>
      <w:color w:val="365F91" w:themeColor="accent1" w:themeShade="BF"/>
      <w:sz w:val="28"/>
      <w:szCs w:val="28"/>
      <w:lang w:val="es-CL"/>
    </w:rPr>
  </w:style>
  <w:style w:type="paragraph" w:styleId="TDC1">
    <w:name w:val="toc 1"/>
    <w:basedOn w:val="Normal"/>
    <w:next w:val="Normal"/>
    <w:autoRedefine/>
    <w:uiPriority w:val="39"/>
    <w:unhideWhenUsed/>
    <w:rsid w:val="00374FD7"/>
    <w:pPr>
      <w:spacing w:before="120"/>
    </w:pPr>
    <w:rPr>
      <w:b/>
    </w:rPr>
  </w:style>
  <w:style w:type="paragraph" w:styleId="TDC2">
    <w:name w:val="toc 2"/>
    <w:basedOn w:val="Normal"/>
    <w:next w:val="Normal"/>
    <w:autoRedefine/>
    <w:uiPriority w:val="39"/>
    <w:unhideWhenUsed/>
    <w:rsid w:val="00274662"/>
    <w:pPr>
      <w:ind w:left="240"/>
    </w:pPr>
    <w:rPr>
      <w:b/>
      <w:sz w:val="22"/>
      <w:szCs w:val="22"/>
    </w:rPr>
  </w:style>
  <w:style w:type="paragraph" w:styleId="TDC3">
    <w:name w:val="toc 3"/>
    <w:basedOn w:val="Normal"/>
    <w:next w:val="Normal"/>
    <w:autoRedefine/>
    <w:uiPriority w:val="39"/>
    <w:unhideWhenUsed/>
    <w:rsid w:val="00382107"/>
    <w:pPr>
      <w:ind w:left="480"/>
    </w:pPr>
    <w:rPr>
      <w:sz w:val="22"/>
      <w:szCs w:val="22"/>
    </w:rPr>
  </w:style>
  <w:style w:type="paragraph" w:styleId="Textodeglobo">
    <w:name w:val="Balloon Text"/>
    <w:basedOn w:val="Normal"/>
    <w:link w:val="TextodegloboCar"/>
    <w:uiPriority w:val="99"/>
    <w:semiHidden/>
    <w:unhideWhenUsed/>
    <w:rsid w:val="003821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107"/>
    <w:rPr>
      <w:rFonts w:ascii="Lucida Grande" w:hAnsi="Lucida Grande" w:cs="Lucida Grande"/>
      <w:sz w:val="18"/>
      <w:szCs w:val="18"/>
    </w:rPr>
  </w:style>
  <w:style w:type="paragraph" w:styleId="TDC4">
    <w:name w:val="toc 4"/>
    <w:basedOn w:val="Normal"/>
    <w:next w:val="Normal"/>
    <w:autoRedefine/>
    <w:uiPriority w:val="39"/>
    <w:unhideWhenUsed/>
    <w:rsid w:val="00382107"/>
    <w:pPr>
      <w:ind w:left="720"/>
    </w:pPr>
    <w:rPr>
      <w:sz w:val="20"/>
      <w:szCs w:val="20"/>
    </w:rPr>
  </w:style>
  <w:style w:type="paragraph" w:styleId="TDC5">
    <w:name w:val="toc 5"/>
    <w:basedOn w:val="Normal"/>
    <w:next w:val="Normal"/>
    <w:autoRedefine/>
    <w:uiPriority w:val="39"/>
    <w:unhideWhenUsed/>
    <w:rsid w:val="00382107"/>
    <w:pPr>
      <w:ind w:left="960"/>
    </w:pPr>
    <w:rPr>
      <w:sz w:val="20"/>
      <w:szCs w:val="20"/>
    </w:rPr>
  </w:style>
  <w:style w:type="paragraph" w:styleId="TDC6">
    <w:name w:val="toc 6"/>
    <w:basedOn w:val="Normal"/>
    <w:next w:val="Normal"/>
    <w:autoRedefine/>
    <w:uiPriority w:val="39"/>
    <w:unhideWhenUsed/>
    <w:rsid w:val="00382107"/>
    <w:pPr>
      <w:ind w:left="1200"/>
    </w:pPr>
    <w:rPr>
      <w:sz w:val="20"/>
      <w:szCs w:val="20"/>
    </w:rPr>
  </w:style>
  <w:style w:type="paragraph" w:styleId="TDC7">
    <w:name w:val="toc 7"/>
    <w:basedOn w:val="Normal"/>
    <w:next w:val="Normal"/>
    <w:autoRedefine/>
    <w:uiPriority w:val="39"/>
    <w:unhideWhenUsed/>
    <w:rsid w:val="00382107"/>
    <w:pPr>
      <w:ind w:left="1440"/>
    </w:pPr>
    <w:rPr>
      <w:sz w:val="20"/>
      <w:szCs w:val="20"/>
    </w:rPr>
  </w:style>
  <w:style w:type="paragraph" w:styleId="TDC8">
    <w:name w:val="toc 8"/>
    <w:basedOn w:val="Normal"/>
    <w:next w:val="Normal"/>
    <w:autoRedefine/>
    <w:uiPriority w:val="39"/>
    <w:unhideWhenUsed/>
    <w:rsid w:val="00382107"/>
    <w:pPr>
      <w:ind w:left="1680"/>
    </w:pPr>
    <w:rPr>
      <w:sz w:val="20"/>
      <w:szCs w:val="20"/>
    </w:rPr>
  </w:style>
  <w:style w:type="paragraph" w:styleId="TDC9">
    <w:name w:val="toc 9"/>
    <w:basedOn w:val="Normal"/>
    <w:next w:val="Normal"/>
    <w:autoRedefine/>
    <w:uiPriority w:val="39"/>
    <w:unhideWhenUsed/>
    <w:rsid w:val="00382107"/>
    <w:pPr>
      <w:ind w:left="1920"/>
    </w:pPr>
    <w:rPr>
      <w:sz w:val="20"/>
      <w:szCs w:val="20"/>
    </w:rPr>
  </w:style>
  <w:style w:type="character" w:styleId="Ttulodellibro">
    <w:name w:val="Book Title"/>
    <w:basedOn w:val="Fuentedeprrafopredeter"/>
    <w:uiPriority w:val="33"/>
    <w:qFormat/>
    <w:rsid w:val="00382107"/>
    <w:rPr>
      <w:b/>
      <w:bCs/>
      <w:smallCaps/>
      <w:spacing w:val="5"/>
    </w:rPr>
  </w:style>
  <w:style w:type="paragraph" w:styleId="Textonotapie">
    <w:name w:val="footnote text"/>
    <w:basedOn w:val="Normal"/>
    <w:link w:val="TextonotapieCar"/>
    <w:uiPriority w:val="99"/>
    <w:unhideWhenUsed/>
    <w:rsid w:val="00304285"/>
  </w:style>
  <w:style w:type="character" w:customStyle="1" w:styleId="TextonotapieCar">
    <w:name w:val="Texto nota pie Car"/>
    <w:basedOn w:val="Fuentedeprrafopredeter"/>
    <w:link w:val="Textonotapie"/>
    <w:uiPriority w:val="99"/>
    <w:rsid w:val="00304285"/>
  </w:style>
  <w:style w:type="character" w:styleId="Refdenotaalpie">
    <w:name w:val="footnote reference"/>
    <w:basedOn w:val="Fuentedeprrafopredeter"/>
    <w:uiPriority w:val="99"/>
    <w:unhideWhenUsed/>
    <w:rsid w:val="00304285"/>
    <w:rPr>
      <w:vertAlign w:val="superscript"/>
    </w:rPr>
  </w:style>
  <w:style w:type="paragraph" w:styleId="Piedepgina">
    <w:name w:val="footer"/>
    <w:basedOn w:val="Normal"/>
    <w:link w:val="PiedepginaCar"/>
    <w:uiPriority w:val="99"/>
    <w:unhideWhenUsed/>
    <w:rsid w:val="005437CD"/>
    <w:pPr>
      <w:tabs>
        <w:tab w:val="center" w:pos="4252"/>
        <w:tab w:val="right" w:pos="8504"/>
      </w:tabs>
    </w:pPr>
  </w:style>
  <w:style w:type="character" w:customStyle="1" w:styleId="PiedepginaCar">
    <w:name w:val="Pie de página Car"/>
    <w:basedOn w:val="Fuentedeprrafopredeter"/>
    <w:link w:val="Piedepgina"/>
    <w:uiPriority w:val="99"/>
    <w:rsid w:val="005437CD"/>
  </w:style>
  <w:style w:type="character" w:styleId="Nmerodepgina">
    <w:name w:val="page number"/>
    <w:basedOn w:val="Fuentedeprrafopredeter"/>
    <w:uiPriority w:val="99"/>
    <w:semiHidden/>
    <w:unhideWhenUsed/>
    <w:rsid w:val="005437CD"/>
  </w:style>
  <w:style w:type="paragraph" w:styleId="Encabezado">
    <w:name w:val="header"/>
    <w:basedOn w:val="Normal"/>
    <w:link w:val="EncabezadoCar"/>
    <w:uiPriority w:val="99"/>
    <w:unhideWhenUsed/>
    <w:rsid w:val="008C66CD"/>
    <w:pPr>
      <w:tabs>
        <w:tab w:val="center" w:pos="4252"/>
        <w:tab w:val="right" w:pos="8504"/>
      </w:tabs>
    </w:pPr>
  </w:style>
  <w:style w:type="character" w:customStyle="1" w:styleId="EncabezadoCar">
    <w:name w:val="Encabezado Car"/>
    <w:basedOn w:val="Fuentedeprrafopredeter"/>
    <w:link w:val="Encabezado"/>
    <w:uiPriority w:val="99"/>
    <w:rsid w:val="008C66CD"/>
  </w:style>
  <w:style w:type="paragraph" w:styleId="HTMLconformatoprevio">
    <w:name w:val="HTML Preformatted"/>
    <w:basedOn w:val="Normal"/>
    <w:link w:val="HTMLconformatoprevioCar"/>
    <w:uiPriority w:val="99"/>
    <w:semiHidden/>
    <w:unhideWhenUsed/>
    <w:rsid w:val="00F6502C"/>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6502C"/>
    <w:rPr>
      <w:rFonts w:ascii="Courier" w:hAnsi="Courier"/>
      <w:sz w:val="20"/>
      <w:szCs w:val="20"/>
    </w:rPr>
  </w:style>
  <w:style w:type="character" w:styleId="Hipervnculo">
    <w:name w:val="Hyperlink"/>
    <w:basedOn w:val="Fuentedeprrafopredeter"/>
    <w:uiPriority w:val="99"/>
    <w:unhideWhenUsed/>
    <w:rsid w:val="00175DC1"/>
    <w:rPr>
      <w:color w:val="0000FF" w:themeColor="hyperlink"/>
      <w:u w:val="single"/>
    </w:rPr>
  </w:style>
  <w:style w:type="paragraph" w:styleId="Epgrafe">
    <w:name w:val="caption"/>
    <w:basedOn w:val="Normal"/>
    <w:next w:val="Normal"/>
    <w:uiPriority w:val="35"/>
    <w:unhideWhenUsed/>
    <w:qFormat/>
    <w:rsid w:val="003C301C"/>
    <w:pPr>
      <w:spacing w:after="200"/>
    </w:pPr>
    <w:rPr>
      <w:b/>
      <w:bCs/>
      <w:color w:val="4F81BD" w:themeColor="accent1"/>
      <w:sz w:val="18"/>
      <w:szCs w:val="18"/>
    </w:rPr>
  </w:style>
  <w:style w:type="paragraph" w:styleId="Prrafodelista">
    <w:name w:val="List Paragraph"/>
    <w:basedOn w:val="Normal"/>
    <w:uiPriority w:val="34"/>
    <w:qFormat/>
    <w:rsid w:val="00A05C77"/>
    <w:pPr>
      <w:ind w:left="720"/>
      <w:contextualSpacing/>
    </w:pPr>
  </w:style>
  <w:style w:type="paragraph" w:styleId="NormalWeb">
    <w:name w:val="Normal (Web)"/>
    <w:basedOn w:val="Normal"/>
    <w:uiPriority w:val="99"/>
    <w:semiHidden/>
    <w:unhideWhenUsed/>
    <w:rsid w:val="004D76C6"/>
    <w:rPr>
      <w:rFonts w:ascii="Times New Roman" w:hAnsi="Times New Roman" w:cs="Times New Roman"/>
    </w:rPr>
  </w:style>
  <w:style w:type="character" w:styleId="Hipervnculovisitado">
    <w:name w:val="FollowedHyperlink"/>
    <w:basedOn w:val="Fuentedeprrafopredeter"/>
    <w:uiPriority w:val="99"/>
    <w:semiHidden/>
    <w:unhideWhenUsed/>
    <w:rsid w:val="00A12286"/>
    <w:rPr>
      <w:color w:val="800080" w:themeColor="followedHyperlink"/>
      <w:u w:val="single"/>
    </w:rPr>
  </w:style>
  <w:style w:type="paragraph" w:styleId="Tabladeilustraciones">
    <w:name w:val="table of figures"/>
    <w:basedOn w:val="Normal"/>
    <w:next w:val="Normal"/>
    <w:uiPriority w:val="99"/>
    <w:unhideWhenUsed/>
    <w:rsid w:val="00B05E92"/>
    <w:pPr>
      <w:ind w:left="480" w:hanging="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821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3821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8210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82107"/>
    <w:rPr>
      <w:rFonts w:asciiTheme="majorHAnsi" w:eastAsiaTheme="majorEastAsia" w:hAnsiTheme="majorHAnsi" w:cstheme="majorBidi"/>
      <w:b/>
      <w:bCs/>
      <w:color w:val="345A8A" w:themeColor="accent1" w:themeShade="B5"/>
      <w:sz w:val="32"/>
      <w:szCs w:val="32"/>
    </w:rPr>
  </w:style>
  <w:style w:type="character" w:customStyle="1" w:styleId="Ttulo2Car">
    <w:name w:val="Título 2 Car"/>
    <w:basedOn w:val="Fuentedeprrafopredeter"/>
    <w:link w:val="Ttulo2"/>
    <w:uiPriority w:val="9"/>
    <w:rsid w:val="0038210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82107"/>
    <w:rPr>
      <w:rFonts w:asciiTheme="majorHAnsi" w:eastAsiaTheme="majorEastAsia" w:hAnsiTheme="majorHAnsi" w:cstheme="majorBidi"/>
      <w:b/>
      <w:bCs/>
      <w:color w:val="4F81BD" w:themeColor="accent1"/>
    </w:rPr>
  </w:style>
  <w:style w:type="paragraph" w:styleId="TtulodeTDC">
    <w:name w:val="TOC Heading"/>
    <w:basedOn w:val="Ttulo1"/>
    <w:next w:val="Normal"/>
    <w:uiPriority w:val="39"/>
    <w:unhideWhenUsed/>
    <w:qFormat/>
    <w:rsid w:val="00382107"/>
    <w:pPr>
      <w:spacing w:line="276" w:lineRule="auto"/>
      <w:outlineLvl w:val="9"/>
    </w:pPr>
    <w:rPr>
      <w:color w:val="365F91" w:themeColor="accent1" w:themeShade="BF"/>
      <w:sz w:val="28"/>
      <w:szCs w:val="28"/>
      <w:lang w:val="es-CL"/>
    </w:rPr>
  </w:style>
  <w:style w:type="paragraph" w:styleId="TDC1">
    <w:name w:val="toc 1"/>
    <w:basedOn w:val="Normal"/>
    <w:next w:val="Normal"/>
    <w:autoRedefine/>
    <w:uiPriority w:val="39"/>
    <w:unhideWhenUsed/>
    <w:rsid w:val="00374FD7"/>
    <w:pPr>
      <w:spacing w:before="120"/>
    </w:pPr>
    <w:rPr>
      <w:b/>
    </w:rPr>
  </w:style>
  <w:style w:type="paragraph" w:styleId="TDC2">
    <w:name w:val="toc 2"/>
    <w:basedOn w:val="Normal"/>
    <w:next w:val="Normal"/>
    <w:autoRedefine/>
    <w:uiPriority w:val="39"/>
    <w:unhideWhenUsed/>
    <w:rsid w:val="00274662"/>
    <w:pPr>
      <w:ind w:left="240"/>
    </w:pPr>
    <w:rPr>
      <w:b/>
      <w:sz w:val="22"/>
      <w:szCs w:val="22"/>
    </w:rPr>
  </w:style>
  <w:style w:type="paragraph" w:styleId="TDC3">
    <w:name w:val="toc 3"/>
    <w:basedOn w:val="Normal"/>
    <w:next w:val="Normal"/>
    <w:autoRedefine/>
    <w:uiPriority w:val="39"/>
    <w:unhideWhenUsed/>
    <w:rsid w:val="00382107"/>
    <w:pPr>
      <w:ind w:left="480"/>
    </w:pPr>
    <w:rPr>
      <w:sz w:val="22"/>
      <w:szCs w:val="22"/>
    </w:rPr>
  </w:style>
  <w:style w:type="paragraph" w:styleId="Textodeglobo">
    <w:name w:val="Balloon Text"/>
    <w:basedOn w:val="Normal"/>
    <w:link w:val="TextodegloboCar"/>
    <w:uiPriority w:val="99"/>
    <w:semiHidden/>
    <w:unhideWhenUsed/>
    <w:rsid w:val="0038210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82107"/>
    <w:rPr>
      <w:rFonts w:ascii="Lucida Grande" w:hAnsi="Lucida Grande" w:cs="Lucida Grande"/>
      <w:sz w:val="18"/>
      <w:szCs w:val="18"/>
    </w:rPr>
  </w:style>
  <w:style w:type="paragraph" w:styleId="TDC4">
    <w:name w:val="toc 4"/>
    <w:basedOn w:val="Normal"/>
    <w:next w:val="Normal"/>
    <w:autoRedefine/>
    <w:uiPriority w:val="39"/>
    <w:unhideWhenUsed/>
    <w:rsid w:val="00382107"/>
    <w:pPr>
      <w:ind w:left="720"/>
    </w:pPr>
    <w:rPr>
      <w:sz w:val="20"/>
      <w:szCs w:val="20"/>
    </w:rPr>
  </w:style>
  <w:style w:type="paragraph" w:styleId="TDC5">
    <w:name w:val="toc 5"/>
    <w:basedOn w:val="Normal"/>
    <w:next w:val="Normal"/>
    <w:autoRedefine/>
    <w:uiPriority w:val="39"/>
    <w:unhideWhenUsed/>
    <w:rsid w:val="00382107"/>
    <w:pPr>
      <w:ind w:left="960"/>
    </w:pPr>
    <w:rPr>
      <w:sz w:val="20"/>
      <w:szCs w:val="20"/>
    </w:rPr>
  </w:style>
  <w:style w:type="paragraph" w:styleId="TDC6">
    <w:name w:val="toc 6"/>
    <w:basedOn w:val="Normal"/>
    <w:next w:val="Normal"/>
    <w:autoRedefine/>
    <w:uiPriority w:val="39"/>
    <w:unhideWhenUsed/>
    <w:rsid w:val="00382107"/>
    <w:pPr>
      <w:ind w:left="1200"/>
    </w:pPr>
    <w:rPr>
      <w:sz w:val="20"/>
      <w:szCs w:val="20"/>
    </w:rPr>
  </w:style>
  <w:style w:type="paragraph" w:styleId="TDC7">
    <w:name w:val="toc 7"/>
    <w:basedOn w:val="Normal"/>
    <w:next w:val="Normal"/>
    <w:autoRedefine/>
    <w:uiPriority w:val="39"/>
    <w:unhideWhenUsed/>
    <w:rsid w:val="00382107"/>
    <w:pPr>
      <w:ind w:left="1440"/>
    </w:pPr>
    <w:rPr>
      <w:sz w:val="20"/>
      <w:szCs w:val="20"/>
    </w:rPr>
  </w:style>
  <w:style w:type="paragraph" w:styleId="TDC8">
    <w:name w:val="toc 8"/>
    <w:basedOn w:val="Normal"/>
    <w:next w:val="Normal"/>
    <w:autoRedefine/>
    <w:uiPriority w:val="39"/>
    <w:unhideWhenUsed/>
    <w:rsid w:val="00382107"/>
    <w:pPr>
      <w:ind w:left="1680"/>
    </w:pPr>
    <w:rPr>
      <w:sz w:val="20"/>
      <w:szCs w:val="20"/>
    </w:rPr>
  </w:style>
  <w:style w:type="paragraph" w:styleId="TDC9">
    <w:name w:val="toc 9"/>
    <w:basedOn w:val="Normal"/>
    <w:next w:val="Normal"/>
    <w:autoRedefine/>
    <w:uiPriority w:val="39"/>
    <w:unhideWhenUsed/>
    <w:rsid w:val="00382107"/>
    <w:pPr>
      <w:ind w:left="1920"/>
    </w:pPr>
    <w:rPr>
      <w:sz w:val="20"/>
      <w:szCs w:val="20"/>
    </w:rPr>
  </w:style>
  <w:style w:type="character" w:styleId="Ttulodellibro">
    <w:name w:val="Book Title"/>
    <w:basedOn w:val="Fuentedeprrafopredeter"/>
    <w:uiPriority w:val="33"/>
    <w:qFormat/>
    <w:rsid w:val="00382107"/>
    <w:rPr>
      <w:b/>
      <w:bCs/>
      <w:smallCaps/>
      <w:spacing w:val="5"/>
    </w:rPr>
  </w:style>
  <w:style w:type="paragraph" w:styleId="Textonotapie">
    <w:name w:val="footnote text"/>
    <w:basedOn w:val="Normal"/>
    <w:link w:val="TextonotapieCar"/>
    <w:uiPriority w:val="99"/>
    <w:unhideWhenUsed/>
    <w:rsid w:val="00304285"/>
  </w:style>
  <w:style w:type="character" w:customStyle="1" w:styleId="TextonotapieCar">
    <w:name w:val="Texto nota pie Car"/>
    <w:basedOn w:val="Fuentedeprrafopredeter"/>
    <w:link w:val="Textonotapie"/>
    <w:uiPriority w:val="99"/>
    <w:rsid w:val="00304285"/>
  </w:style>
  <w:style w:type="character" w:styleId="Refdenotaalpie">
    <w:name w:val="footnote reference"/>
    <w:basedOn w:val="Fuentedeprrafopredeter"/>
    <w:uiPriority w:val="99"/>
    <w:unhideWhenUsed/>
    <w:rsid w:val="00304285"/>
    <w:rPr>
      <w:vertAlign w:val="superscript"/>
    </w:rPr>
  </w:style>
  <w:style w:type="paragraph" w:styleId="Piedepgina">
    <w:name w:val="footer"/>
    <w:basedOn w:val="Normal"/>
    <w:link w:val="PiedepginaCar"/>
    <w:uiPriority w:val="99"/>
    <w:unhideWhenUsed/>
    <w:rsid w:val="005437CD"/>
    <w:pPr>
      <w:tabs>
        <w:tab w:val="center" w:pos="4252"/>
        <w:tab w:val="right" w:pos="8504"/>
      </w:tabs>
    </w:pPr>
  </w:style>
  <w:style w:type="character" w:customStyle="1" w:styleId="PiedepginaCar">
    <w:name w:val="Pie de página Car"/>
    <w:basedOn w:val="Fuentedeprrafopredeter"/>
    <w:link w:val="Piedepgina"/>
    <w:uiPriority w:val="99"/>
    <w:rsid w:val="005437CD"/>
  </w:style>
  <w:style w:type="character" w:styleId="Nmerodepgina">
    <w:name w:val="page number"/>
    <w:basedOn w:val="Fuentedeprrafopredeter"/>
    <w:uiPriority w:val="99"/>
    <w:semiHidden/>
    <w:unhideWhenUsed/>
    <w:rsid w:val="005437CD"/>
  </w:style>
  <w:style w:type="paragraph" w:styleId="Encabezado">
    <w:name w:val="header"/>
    <w:basedOn w:val="Normal"/>
    <w:link w:val="EncabezadoCar"/>
    <w:uiPriority w:val="99"/>
    <w:unhideWhenUsed/>
    <w:rsid w:val="008C66CD"/>
    <w:pPr>
      <w:tabs>
        <w:tab w:val="center" w:pos="4252"/>
        <w:tab w:val="right" w:pos="8504"/>
      </w:tabs>
    </w:pPr>
  </w:style>
  <w:style w:type="character" w:customStyle="1" w:styleId="EncabezadoCar">
    <w:name w:val="Encabezado Car"/>
    <w:basedOn w:val="Fuentedeprrafopredeter"/>
    <w:link w:val="Encabezado"/>
    <w:uiPriority w:val="99"/>
    <w:rsid w:val="008C66CD"/>
  </w:style>
  <w:style w:type="paragraph" w:styleId="HTMLconformatoprevio">
    <w:name w:val="HTML Preformatted"/>
    <w:basedOn w:val="Normal"/>
    <w:link w:val="HTMLconformatoprevioCar"/>
    <w:uiPriority w:val="99"/>
    <w:semiHidden/>
    <w:unhideWhenUsed/>
    <w:rsid w:val="00F6502C"/>
    <w:rPr>
      <w:rFonts w:ascii="Courier" w:hAnsi="Courier"/>
      <w:sz w:val="20"/>
      <w:szCs w:val="20"/>
    </w:rPr>
  </w:style>
  <w:style w:type="character" w:customStyle="1" w:styleId="HTMLconformatoprevioCar">
    <w:name w:val="HTML con formato previo Car"/>
    <w:basedOn w:val="Fuentedeprrafopredeter"/>
    <w:link w:val="HTMLconformatoprevio"/>
    <w:uiPriority w:val="99"/>
    <w:semiHidden/>
    <w:rsid w:val="00F6502C"/>
    <w:rPr>
      <w:rFonts w:ascii="Courier" w:hAnsi="Courier"/>
      <w:sz w:val="20"/>
      <w:szCs w:val="20"/>
    </w:rPr>
  </w:style>
  <w:style w:type="character" w:styleId="Hipervnculo">
    <w:name w:val="Hyperlink"/>
    <w:basedOn w:val="Fuentedeprrafopredeter"/>
    <w:uiPriority w:val="99"/>
    <w:unhideWhenUsed/>
    <w:rsid w:val="00175DC1"/>
    <w:rPr>
      <w:color w:val="0000FF" w:themeColor="hyperlink"/>
      <w:u w:val="single"/>
    </w:rPr>
  </w:style>
  <w:style w:type="paragraph" w:styleId="Epgrafe">
    <w:name w:val="caption"/>
    <w:basedOn w:val="Normal"/>
    <w:next w:val="Normal"/>
    <w:uiPriority w:val="35"/>
    <w:unhideWhenUsed/>
    <w:qFormat/>
    <w:rsid w:val="003C301C"/>
    <w:pPr>
      <w:spacing w:after="200"/>
    </w:pPr>
    <w:rPr>
      <w:b/>
      <w:bCs/>
      <w:color w:val="4F81BD" w:themeColor="accent1"/>
      <w:sz w:val="18"/>
      <w:szCs w:val="18"/>
    </w:rPr>
  </w:style>
  <w:style w:type="paragraph" w:styleId="Prrafodelista">
    <w:name w:val="List Paragraph"/>
    <w:basedOn w:val="Normal"/>
    <w:uiPriority w:val="34"/>
    <w:qFormat/>
    <w:rsid w:val="00A05C77"/>
    <w:pPr>
      <w:ind w:left="720"/>
      <w:contextualSpacing/>
    </w:pPr>
  </w:style>
  <w:style w:type="paragraph" w:styleId="NormalWeb">
    <w:name w:val="Normal (Web)"/>
    <w:basedOn w:val="Normal"/>
    <w:uiPriority w:val="99"/>
    <w:semiHidden/>
    <w:unhideWhenUsed/>
    <w:rsid w:val="004D76C6"/>
    <w:rPr>
      <w:rFonts w:ascii="Times New Roman" w:hAnsi="Times New Roman" w:cs="Times New Roman"/>
    </w:rPr>
  </w:style>
  <w:style w:type="character" w:styleId="Hipervnculovisitado">
    <w:name w:val="FollowedHyperlink"/>
    <w:basedOn w:val="Fuentedeprrafopredeter"/>
    <w:uiPriority w:val="99"/>
    <w:semiHidden/>
    <w:unhideWhenUsed/>
    <w:rsid w:val="00A12286"/>
    <w:rPr>
      <w:color w:val="800080" w:themeColor="followedHyperlink"/>
      <w:u w:val="single"/>
    </w:rPr>
  </w:style>
  <w:style w:type="paragraph" w:styleId="Tabladeilustraciones">
    <w:name w:val="table of figures"/>
    <w:basedOn w:val="Normal"/>
    <w:next w:val="Normal"/>
    <w:uiPriority w:val="99"/>
    <w:unhideWhenUsed/>
    <w:rsid w:val="00B05E92"/>
    <w:pPr>
      <w:ind w:left="480" w:hanging="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6585">
      <w:bodyDiv w:val="1"/>
      <w:marLeft w:val="0"/>
      <w:marRight w:val="0"/>
      <w:marTop w:val="0"/>
      <w:marBottom w:val="0"/>
      <w:divBdr>
        <w:top w:val="none" w:sz="0" w:space="0" w:color="auto"/>
        <w:left w:val="none" w:sz="0" w:space="0" w:color="auto"/>
        <w:bottom w:val="none" w:sz="0" w:space="0" w:color="auto"/>
        <w:right w:val="none" w:sz="0" w:space="0" w:color="auto"/>
      </w:divBdr>
      <w:divsChild>
        <w:div w:id="747465186">
          <w:marLeft w:val="0"/>
          <w:marRight w:val="0"/>
          <w:marTop w:val="0"/>
          <w:marBottom w:val="0"/>
          <w:divBdr>
            <w:top w:val="none" w:sz="0" w:space="0" w:color="auto"/>
            <w:left w:val="none" w:sz="0" w:space="0" w:color="auto"/>
            <w:bottom w:val="none" w:sz="0" w:space="0" w:color="auto"/>
            <w:right w:val="none" w:sz="0" w:space="0" w:color="auto"/>
          </w:divBdr>
        </w:div>
      </w:divsChild>
    </w:div>
    <w:div w:id="68382437">
      <w:bodyDiv w:val="1"/>
      <w:marLeft w:val="0"/>
      <w:marRight w:val="0"/>
      <w:marTop w:val="0"/>
      <w:marBottom w:val="0"/>
      <w:divBdr>
        <w:top w:val="none" w:sz="0" w:space="0" w:color="auto"/>
        <w:left w:val="none" w:sz="0" w:space="0" w:color="auto"/>
        <w:bottom w:val="none" w:sz="0" w:space="0" w:color="auto"/>
        <w:right w:val="none" w:sz="0" w:space="0" w:color="auto"/>
      </w:divBdr>
    </w:div>
    <w:div w:id="102921585">
      <w:bodyDiv w:val="1"/>
      <w:marLeft w:val="0"/>
      <w:marRight w:val="0"/>
      <w:marTop w:val="0"/>
      <w:marBottom w:val="0"/>
      <w:divBdr>
        <w:top w:val="none" w:sz="0" w:space="0" w:color="auto"/>
        <w:left w:val="none" w:sz="0" w:space="0" w:color="auto"/>
        <w:bottom w:val="none" w:sz="0" w:space="0" w:color="auto"/>
        <w:right w:val="none" w:sz="0" w:space="0" w:color="auto"/>
      </w:divBdr>
    </w:div>
    <w:div w:id="105277053">
      <w:bodyDiv w:val="1"/>
      <w:marLeft w:val="0"/>
      <w:marRight w:val="0"/>
      <w:marTop w:val="0"/>
      <w:marBottom w:val="0"/>
      <w:divBdr>
        <w:top w:val="none" w:sz="0" w:space="0" w:color="auto"/>
        <w:left w:val="none" w:sz="0" w:space="0" w:color="auto"/>
        <w:bottom w:val="none" w:sz="0" w:space="0" w:color="auto"/>
        <w:right w:val="none" w:sz="0" w:space="0" w:color="auto"/>
      </w:divBdr>
    </w:div>
    <w:div w:id="116996359">
      <w:bodyDiv w:val="1"/>
      <w:marLeft w:val="0"/>
      <w:marRight w:val="0"/>
      <w:marTop w:val="0"/>
      <w:marBottom w:val="0"/>
      <w:divBdr>
        <w:top w:val="none" w:sz="0" w:space="0" w:color="auto"/>
        <w:left w:val="none" w:sz="0" w:space="0" w:color="auto"/>
        <w:bottom w:val="none" w:sz="0" w:space="0" w:color="auto"/>
        <w:right w:val="none" w:sz="0" w:space="0" w:color="auto"/>
      </w:divBdr>
    </w:div>
    <w:div w:id="165485433">
      <w:bodyDiv w:val="1"/>
      <w:marLeft w:val="0"/>
      <w:marRight w:val="0"/>
      <w:marTop w:val="0"/>
      <w:marBottom w:val="0"/>
      <w:divBdr>
        <w:top w:val="none" w:sz="0" w:space="0" w:color="auto"/>
        <w:left w:val="none" w:sz="0" w:space="0" w:color="auto"/>
        <w:bottom w:val="none" w:sz="0" w:space="0" w:color="auto"/>
        <w:right w:val="none" w:sz="0" w:space="0" w:color="auto"/>
      </w:divBdr>
    </w:div>
    <w:div w:id="213467855">
      <w:bodyDiv w:val="1"/>
      <w:marLeft w:val="0"/>
      <w:marRight w:val="0"/>
      <w:marTop w:val="0"/>
      <w:marBottom w:val="0"/>
      <w:divBdr>
        <w:top w:val="none" w:sz="0" w:space="0" w:color="auto"/>
        <w:left w:val="none" w:sz="0" w:space="0" w:color="auto"/>
        <w:bottom w:val="none" w:sz="0" w:space="0" w:color="auto"/>
        <w:right w:val="none" w:sz="0" w:space="0" w:color="auto"/>
      </w:divBdr>
    </w:div>
    <w:div w:id="214434099">
      <w:bodyDiv w:val="1"/>
      <w:marLeft w:val="0"/>
      <w:marRight w:val="0"/>
      <w:marTop w:val="0"/>
      <w:marBottom w:val="0"/>
      <w:divBdr>
        <w:top w:val="none" w:sz="0" w:space="0" w:color="auto"/>
        <w:left w:val="none" w:sz="0" w:space="0" w:color="auto"/>
        <w:bottom w:val="none" w:sz="0" w:space="0" w:color="auto"/>
        <w:right w:val="none" w:sz="0" w:space="0" w:color="auto"/>
      </w:divBdr>
    </w:div>
    <w:div w:id="224874946">
      <w:bodyDiv w:val="1"/>
      <w:marLeft w:val="0"/>
      <w:marRight w:val="0"/>
      <w:marTop w:val="0"/>
      <w:marBottom w:val="0"/>
      <w:divBdr>
        <w:top w:val="none" w:sz="0" w:space="0" w:color="auto"/>
        <w:left w:val="none" w:sz="0" w:space="0" w:color="auto"/>
        <w:bottom w:val="none" w:sz="0" w:space="0" w:color="auto"/>
        <w:right w:val="none" w:sz="0" w:space="0" w:color="auto"/>
      </w:divBdr>
    </w:div>
    <w:div w:id="262568250">
      <w:bodyDiv w:val="1"/>
      <w:marLeft w:val="0"/>
      <w:marRight w:val="0"/>
      <w:marTop w:val="0"/>
      <w:marBottom w:val="0"/>
      <w:divBdr>
        <w:top w:val="none" w:sz="0" w:space="0" w:color="auto"/>
        <w:left w:val="none" w:sz="0" w:space="0" w:color="auto"/>
        <w:bottom w:val="none" w:sz="0" w:space="0" w:color="auto"/>
        <w:right w:val="none" w:sz="0" w:space="0" w:color="auto"/>
      </w:divBdr>
    </w:div>
    <w:div w:id="299458083">
      <w:bodyDiv w:val="1"/>
      <w:marLeft w:val="0"/>
      <w:marRight w:val="0"/>
      <w:marTop w:val="0"/>
      <w:marBottom w:val="0"/>
      <w:divBdr>
        <w:top w:val="none" w:sz="0" w:space="0" w:color="auto"/>
        <w:left w:val="none" w:sz="0" w:space="0" w:color="auto"/>
        <w:bottom w:val="none" w:sz="0" w:space="0" w:color="auto"/>
        <w:right w:val="none" w:sz="0" w:space="0" w:color="auto"/>
      </w:divBdr>
    </w:div>
    <w:div w:id="305009063">
      <w:bodyDiv w:val="1"/>
      <w:marLeft w:val="0"/>
      <w:marRight w:val="0"/>
      <w:marTop w:val="0"/>
      <w:marBottom w:val="0"/>
      <w:divBdr>
        <w:top w:val="none" w:sz="0" w:space="0" w:color="auto"/>
        <w:left w:val="none" w:sz="0" w:space="0" w:color="auto"/>
        <w:bottom w:val="none" w:sz="0" w:space="0" w:color="auto"/>
        <w:right w:val="none" w:sz="0" w:space="0" w:color="auto"/>
      </w:divBdr>
    </w:div>
    <w:div w:id="362021994">
      <w:bodyDiv w:val="1"/>
      <w:marLeft w:val="0"/>
      <w:marRight w:val="0"/>
      <w:marTop w:val="0"/>
      <w:marBottom w:val="0"/>
      <w:divBdr>
        <w:top w:val="none" w:sz="0" w:space="0" w:color="auto"/>
        <w:left w:val="none" w:sz="0" w:space="0" w:color="auto"/>
        <w:bottom w:val="none" w:sz="0" w:space="0" w:color="auto"/>
        <w:right w:val="none" w:sz="0" w:space="0" w:color="auto"/>
      </w:divBdr>
    </w:div>
    <w:div w:id="368803370">
      <w:bodyDiv w:val="1"/>
      <w:marLeft w:val="0"/>
      <w:marRight w:val="0"/>
      <w:marTop w:val="0"/>
      <w:marBottom w:val="0"/>
      <w:divBdr>
        <w:top w:val="none" w:sz="0" w:space="0" w:color="auto"/>
        <w:left w:val="none" w:sz="0" w:space="0" w:color="auto"/>
        <w:bottom w:val="none" w:sz="0" w:space="0" w:color="auto"/>
        <w:right w:val="none" w:sz="0" w:space="0" w:color="auto"/>
      </w:divBdr>
      <w:divsChild>
        <w:div w:id="91435075">
          <w:marLeft w:val="0"/>
          <w:marRight w:val="0"/>
          <w:marTop w:val="0"/>
          <w:marBottom w:val="0"/>
          <w:divBdr>
            <w:top w:val="none" w:sz="0" w:space="0" w:color="auto"/>
            <w:left w:val="none" w:sz="0" w:space="0" w:color="auto"/>
            <w:bottom w:val="none" w:sz="0" w:space="0" w:color="auto"/>
            <w:right w:val="none" w:sz="0" w:space="0" w:color="auto"/>
          </w:divBdr>
        </w:div>
        <w:div w:id="8534010">
          <w:marLeft w:val="0"/>
          <w:marRight w:val="0"/>
          <w:marTop w:val="0"/>
          <w:marBottom w:val="0"/>
          <w:divBdr>
            <w:top w:val="none" w:sz="0" w:space="0" w:color="auto"/>
            <w:left w:val="none" w:sz="0" w:space="0" w:color="auto"/>
            <w:bottom w:val="none" w:sz="0" w:space="0" w:color="auto"/>
            <w:right w:val="none" w:sz="0" w:space="0" w:color="auto"/>
          </w:divBdr>
        </w:div>
        <w:div w:id="2133401369">
          <w:marLeft w:val="0"/>
          <w:marRight w:val="0"/>
          <w:marTop w:val="0"/>
          <w:marBottom w:val="0"/>
          <w:divBdr>
            <w:top w:val="none" w:sz="0" w:space="0" w:color="auto"/>
            <w:left w:val="none" w:sz="0" w:space="0" w:color="auto"/>
            <w:bottom w:val="none" w:sz="0" w:space="0" w:color="auto"/>
            <w:right w:val="none" w:sz="0" w:space="0" w:color="auto"/>
          </w:divBdr>
        </w:div>
        <w:div w:id="51120720">
          <w:marLeft w:val="0"/>
          <w:marRight w:val="0"/>
          <w:marTop w:val="0"/>
          <w:marBottom w:val="0"/>
          <w:divBdr>
            <w:top w:val="none" w:sz="0" w:space="0" w:color="auto"/>
            <w:left w:val="none" w:sz="0" w:space="0" w:color="auto"/>
            <w:bottom w:val="none" w:sz="0" w:space="0" w:color="auto"/>
            <w:right w:val="none" w:sz="0" w:space="0" w:color="auto"/>
          </w:divBdr>
        </w:div>
        <w:div w:id="507864781">
          <w:marLeft w:val="0"/>
          <w:marRight w:val="0"/>
          <w:marTop w:val="0"/>
          <w:marBottom w:val="0"/>
          <w:divBdr>
            <w:top w:val="none" w:sz="0" w:space="0" w:color="auto"/>
            <w:left w:val="none" w:sz="0" w:space="0" w:color="auto"/>
            <w:bottom w:val="none" w:sz="0" w:space="0" w:color="auto"/>
            <w:right w:val="none" w:sz="0" w:space="0" w:color="auto"/>
          </w:divBdr>
        </w:div>
        <w:div w:id="2078042709">
          <w:marLeft w:val="0"/>
          <w:marRight w:val="0"/>
          <w:marTop w:val="0"/>
          <w:marBottom w:val="0"/>
          <w:divBdr>
            <w:top w:val="none" w:sz="0" w:space="0" w:color="auto"/>
            <w:left w:val="none" w:sz="0" w:space="0" w:color="auto"/>
            <w:bottom w:val="none" w:sz="0" w:space="0" w:color="auto"/>
            <w:right w:val="none" w:sz="0" w:space="0" w:color="auto"/>
          </w:divBdr>
        </w:div>
        <w:div w:id="1958683493">
          <w:marLeft w:val="0"/>
          <w:marRight w:val="0"/>
          <w:marTop w:val="0"/>
          <w:marBottom w:val="0"/>
          <w:divBdr>
            <w:top w:val="none" w:sz="0" w:space="0" w:color="auto"/>
            <w:left w:val="none" w:sz="0" w:space="0" w:color="auto"/>
            <w:bottom w:val="none" w:sz="0" w:space="0" w:color="auto"/>
            <w:right w:val="none" w:sz="0" w:space="0" w:color="auto"/>
          </w:divBdr>
        </w:div>
        <w:div w:id="1992369294">
          <w:marLeft w:val="0"/>
          <w:marRight w:val="0"/>
          <w:marTop w:val="0"/>
          <w:marBottom w:val="0"/>
          <w:divBdr>
            <w:top w:val="none" w:sz="0" w:space="0" w:color="auto"/>
            <w:left w:val="none" w:sz="0" w:space="0" w:color="auto"/>
            <w:bottom w:val="none" w:sz="0" w:space="0" w:color="auto"/>
            <w:right w:val="none" w:sz="0" w:space="0" w:color="auto"/>
          </w:divBdr>
        </w:div>
      </w:divsChild>
    </w:div>
    <w:div w:id="421024831">
      <w:bodyDiv w:val="1"/>
      <w:marLeft w:val="0"/>
      <w:marRight w:val="0"/>
      <w:marTop w:val="0"/>
      <w:marBottom w:val="0"/>
      <w:divBdr>
        <w:top w:val="none" w:sz="0" w:space="0" w:color="auto"/>
        <w:left w:val="none" w:sz="0" w:space="0" w:color="auto"/>
        <w:bottom w:val="none" w:sz="0" w:space="0" w:color="auto"/>
        <w:right w:val="none" w:sz="0" w:space="0" w:color="auto"/>
      </w:divBdr>
    </w:div>
    <w:div w:id="430592803">
      <w:bodyDiv w:val="1"/>
      <w:marLeft w:val="0"/>
      <w:marRight w:val="0"/>
      <w:marTop w:val="0"/>
      <w:marBottom w:val="0"/>
      <w:divBdr>
        <w:top w:val="none" w:sz="0" w:space="0" w:color="auto"/>
        <w:left w:val="none" w:sz="0" w:space="0" w:color="auto"/>
        <w:bottom w:val="none" w:sz="0" w:space="0" w:color="auto"/>
        <w:right w:val="none" w:sz="0" w:space="0" w:color="auto"/>
      </w:divBdr>
    </w:div>
    <w:div w:id="440535346">
      <w:bodyDiv w:val="1"/>
      <w:marLeft w:val="0"/>
      <w:marRight w:val="0"/>
      <w:marTop w:val="0"/>
      <w:marBottom w:val="0"/>
      <w:divBdr>
        <w:top w:val="none" w:sz="0" w:space="0" w:color="auto"/>
        <w:left w:val="none" w:sz="0" w:space="0" w:color="auto"/>
        <w:bottom w:val="none" w:sz="0" w:space="0" w:color="auto"/>
        <w:right w:val="none" w:sz="0" w:space="0" w:color="auto"/>
      </w:divBdr>
    </w:div>
    <w:div w:id="515734477">
      <w:bodyDiv w:val="1"/>
      <w:marLeft w:val="0"/>
      <w:marRight w:val="0"/>
      <w:marTop w:val="0"/>
      <w:marBottom w:val="0"/>
      <w:divBdr>
        <w:top w:val="none" w:sz="0" w:space="0" w:color="auto"/>
        <w:left w:val="none" w:sz="0" w:space="0" w:color="auto"/>
        <w:bottom w:val="none" w:sz="0" w:space="0" w:color="auto"/>
        <w:right w:val="none" w:sz="0" w:space="0" w:color="auto"/>
      </w:divBdr>
    </w:div>
    <w:div w:id="549149978">
      <w:bodyDiv w:val="1"/>
      <w:marLeft w:val="0"/>
      <w:marRight w:val="0"/>
      <w:marTop w:val="0"/>
      <w:marBottom w:val="0"/>
      <w:divBdr>
        <w:top w:val="none" w:sz="0" w:space="0" w:color="auto"/>
        <w:left w:val="none" w:sz="0" w:space="0" w:color="auto"/>
        <w:bottom w:val="none" w:sz="0" w:space="0" w:color="auto"/>
        <w:right w:val="none" w:sz="0" w:space="0" w:color="auto"/>
      </w:divBdr>
    </w:div>
    <w:div w:id="550726244">
      <w:bodyDiv w:val="1"/>
      <w:marLeft w:val="0"/>
      <w:marRight w:val="0"/>
      <w:marTop w:val="0"/>
      <w:marBottom w:val="0"/>
      <w:divBdr>
        <w:top w:val="none" w:sz="0" w:space="0" w:color="auto"/>
        <w:left w:val="none" w:sz="0" w:space="0" w:color="auto"/>
        <w:bottom w:val="none" w:sz="0" w:space="0" w:color="auto"/>
        <w:right w:val="none" w:sz="0" w:space="0" w:color="auto"/>
      </w:divBdr>
    </w:div>
    <w:div w:id="556891102">
      <w:bodyDiv w:val="1"/>
      <w:marLeft w:val="0"/>
      <w:marRight w:val="0"/>
      <w:marTop w:val="0"/>
      <w:marBottom w:val="0"/>
      <w:divBdr>
        <w:top w:val="none" w:sz="0" w:space="0" w:color="auto"/>
        <w:left w:val="none" w:sz="0" w:space="0" w:color="auto"/>
        <w:bottom w:val="none" w:sz="0" w:space="0" w:color="auto"/>
        <w:right w:val="none" w:sz="0" w:space="0" w:color="auto"/>
      </w:divBdr>
    </w:div>
    <w:div w:id="560871709">
      <w:bodyDiv w:val="1"/>
      <w:marLeft w:val="0"/>
      <w:marRight w:val="0"/>
      <w:marTop w:val="0"/>
      <w:marBottom w:val="0"/>
      <w:divBdr>
        <w:top w:val="none" w:sz="0" w:space="0" w:color="auto"/>
        <w:left w:val="none" w:sz="0" w:space="0" w:color="auto"/>
        <w:bottom w:val="none" w:sz="0" w:space="0" w:color="auto"/>
        <w:right w:val="none" w:sz="0" w:space="0" w:color="auto"/>
      </w:divBdr>
      <w:divsChild>
        <w:div w:id="893928437">
          <w:marLeft w:val="0"/>
          <w:marRight w:val="0"/>
          <w:marTop w:val="0"/>
          <w:marBottom w:val="0"/>
          <w:divBdr>
            <w:top w:val="none" w:sz="0" w:space="0" w:color="auto"/>
            <w:left w:val="none" w:sz="0" w:space="0" w:color="auto"/>
            <w:bottom w:val="none" w:sz="0" w:space="0" w:color="auto"/>
            <w:right w:val="none" w:sz="0" w:space="0" w:color="auto"/>
          </w:divBdr>
        </w:div>
      </w:divsChild>
    </w:div>
    <w:div w:id="595678820">
      <w:bodyDiv w:val="1"/>
      <w:marLeft w:val="0"/>
      <w:marRight w:val="0"/>
      <w:marTop w:val="0"/>
      <w:marBottom w:val="0"/>
      <w:divBdr>
        <w:top w:val="none" w:sz="0" w:space="0" w:color="auto"/>
        <w:left w:val="none" w:sz="0" w:space="0" w:color="auto"/>
        <w:bottom w:val="none" w:sz="0" w:space="0" w:color="auto"/>
        <w:right w:val="none" w:sz="0" w:space="0" w:color="auto"/>
      </w:divBdr>
    </w:div>
    <w:div w:id="677269846">
      <w:bodyDiv w:val="1"/>
      <w:marLeft w:val="0"/>
      <w:marRight w:val="0"/>
      <w:marTop w:val="0"/>
      <w:marBottom w:val="0"/>
      <w:divBdr>
        <w:top w:val="none" w:sz="0" w:space="0" w:color="auto"/>
        <w:left w:val="none" w:sz="0" w:space="0" w:color="auto"/>
        <w:bottom w:val="none" w:sz="0" w:space="0" w:color="auto"/>
        <w:right w:val="none" w:sz="0" w:space="0" w:color="auto"/>
      </w:divBdr>
    </w:div>
    <w:div w:id="681664372">
      <w:bodyDiv w:val="1"/>
      <w:marLeft w:val="0"/>
      <w:marRight w:val="0"/>
      <w:marTop w:val="0"/>
      <w:marBottom w:val="0"/>
      <w:divBdr>
        <w:top w:val="none" w:sz="0" w:space="0" w:color="auto"/>
        <w:left w:val="none" w:sz="0" w:space="0" w:color="auto"/>
        <w:bottom w:val="none" w:sz="0" w:space="0" w:color="auto"/>
        <w:right w:val="none" w:sz="0" w:space="0" w:color="auto"/>
      </w:divBdr>
    </w:div>
    <w:div w:id="695732431">
      <w:bodyDiv w:val="1"/>
      <w:marLeft w:val="0"/>
      <w:marRight w:val="0"/>
      <w:marTop w:val="0"/>
      <w:marBottom w:val="0"/>
      <w:divBdr>
        <w:top w:val="none" w:sz="0" w:space="0" w:color="auto"/>
        <w:left w:val="none" w:sz="0" w:space="0" w:color="auto"/>
        <w:bottom w:val="none" w:sz="0" w:space="0" w:color="auto"/>
        <w:right w:val="none" w:sz="0" w:space="0" w:color="auto"/>
      </w:divBdr>
    </w:div>
    <w:div w:id="788201653">
      <w:bodyDiv w:val="1"/>
      <w:marLeft w:val="0"/>
      <w:marRight w:val="0"/>
      <w:marTop w:val="0"/>
      <w:marBottom w:val="0"/>
      <w:divBdr>
        <w:top w:val="none" w:sz="0" w:space="0" w:color="auto"/>
        <w:left w:val="none" w:sz="0" w:space="0" w:color="auto"/>
        <w:bottom w:val="none" w:sz="0" w:space="0" w:color="auto"/>
        <w:right w:val="none" w:sz="0" w:space="0" w:color="auto"/>
      </w:divBdr>
    </w:div>
    <w:div w:id="789280409">
      <w:bodyDiv w:val="1"/>
      <w:marLeft w:val="0"/>
      <w:marRight w:val="0"/>
      <w:marTop w:val="0"/>
      <w:marBottom w:val="0"/>
      <w:divBdr>
        <w:top w:val="none" w:sz="0" w:space="0" w:color="auto"/>
        <w:left w:val="none" w:sz="0" w:space="0" w:color="auto"/>
        <w:bottom w:val="none" w:sz="0" w:space="0" w:color="auto"/>
        <w:right w:val="none" w:sz="0" w:space="0" w:color="auto"/>
      </w:divBdr>
    </w:div>
    <w:div w:id="795102315">
      <w:bodyDiv w:val="1"/>
      <w:marLeft w:val="0"/>
      <w:marRight w:val="0"/>
      <w:marTop w:val="0"/>
      <w:marBottom w:val="0"/>
      <w:divBdr>
        <w:top w:val="none" w:sz="0" w:space="0" w:color="auto"/>
        <w:left w:val="none" w:sz="0" w:space="0" w:color="auto"/>
        <w:bottom w:val="none" w:sz="0" w:space="0" w:color="auto"/>
        <w:right w:val="none" w:sz="0" w:space="0" w:color="auto"/>
      </w:divBdr>
    </w:div>
    <w:div w:id="802115528">
      <w:bodyDiv w:val="1"/>
      <w:marLeft w:val="0"/>
      <w:marRight w:val="0"/>
      <w:marTop w:val="0"/>
      <w:marBottom w:val="0"/>
      <w:divBdr>
        <w:top w:val="none" w:sz="0" w:space="0" w:color="auto"/>
        <w:left w:val="none" w:sz="0" w:space="0" w:color="auto"/>
        <w:bottom w:val="none" w:sz="0" w:space="0" w:color="auto"/>
        <w:right w:val="none" w:sz="0" w:space="0" w:color="auto"/>
      </w:divBdr>
    </w:div>
    <w:div w:id="839007551">
      <w:bodyDiv w:val="1"/>
      <w:marLeft w:val="0"/>
      <w:marRight w:val="0"/>
      <w:marTop w:val="0"/>
      <w:marBottom w:val="0"/>
      <w:divBdr>
        <w:top w:val="none" w:sz="0" w:space="0" w:color="auto"/>
        <w:left w:val="none" w:sz="0" w:space="0" w:color="auto"/>
        <w:bottom w:val="none" w:sz="0" w:space="0" w:color="auto"/>
        <w:right w:val="none" w:sz="0" w:space="0" w:color="auto"/>
      </w:divBdr>
    </w:div>
    <w:div w:id="840508136">
      <w:bodyDiv w:val="1"/>
      <w:marLeft w:val="0"/>
      <w:marRight w:val="0"/>
      <w:marTop w:val="0"/>
      <w:marBottom w:val="0"/>
      <w:divBdr>
        <w:top w:val="none" w:sz="0" w:space="0" w:color="auto"/>
        <w:left w:val="none" w:sz="0" w:space="0" w:color="auto"/>
        <w:bottom w:val="none" w:sz="0" w:space="0" w:color="auto"/>
        <w:right w:val="none" w:sz="0" w:space="0" w:color="auto"/>
      </w:divBdr>
    </w:div>
    <w:div w:id="863522857">
      <w:bodyDiv w:val="1"/>
      <w:marLeft w:val="0"/>
      <w:marRight w:val="0"/>
      <w:marTop w:val="0"/>
      <w:marBottom w:val="0"/>
      <w:divBdr>
        <w:top w:val="none" w:sz="0" w:space="0" w:color="auto"/>
        <w:left w:val="none" w:sz="0" w:space="0" w:color="auto"/>
        <w:bottom w:val="none" w:sz="0" w:space="0" w:color="auto"/>
        <w:right w:val="none" w:sz="0" w:space="0" w:color="auto"/>
      </w:divBdr>
    </w:div>
    <w:div w:id="885021345">
      <w:bodyDiv w:val="1"/>
      <w:marLeft w:val="0"/>
      <w:marRight w:val="0"/>
      <w:marTop w:val="0"/>
      <w:marBottom w:val="0"/>
      <w:divBdr>
        <w:top w:val="none" w:sz="0" w:space="0" w:color="auto"/>
        <w:left w:val="none" w:sz="0" w:space="0" w:color="auto"/>
        <w:bottom w:val="none" w:sz="0" w:space="0" w:color="auto"/>
        <w:right w:val="none" w:sz="0" w:space="0" w:color="auto"/>
      </w:divBdr>
    </w:div>
    <w:div w:id="895244028">
      <w:bodyDiv w:val="1"/>
      <w:marLeft w:val="0"/>
      <w:marRight w:val="0"/>
      <w:marTop w:val="0"/>
      <w:marBottom w:val="0"/>
      <w:divBdr>
        <w:top w:val="none" w:sz="0" w:space="0" w:color="auto"/>
        <w:left w:val="none" w:sz="0" w:space="0" w:color="auto"/>
        <w:bottom w:val="none" w:sz="0" w:space="0" w:color="auto"/>
        <w:right w:val="none" w:sz="0" w:space="0" w:color="auto"/>
      </w:divBdr>
    </w:div>
    <w:div w:id="908541812">
      <w:bodyDiv w:val="1"/>
      <w:marLeft w:val="0"/>
      <w:marRight w:val="0"/>
      <w:marTop w:val="0"/>
      <w:marBottom w:val="0"/>
      <w:divBdr>
        <w:top w:val="none" w:sz="0" w:space="0" w:color="auto"/>
        <w:left w:val="none" w:sz="0" w:space="0" w:color="auto"/>
        <w:bottom w:val="none" w:sz="0" w:space="0" w:color="auto"/>
        <w:right w:val="none" w:sz="0" w:space="0" w:color="auto"/>
      </w:divBdr>
    </w:div>
    <w:div w:id="923145413">
      <w:bodyDiv w:val="1"/>
      <w:marLeft w:val="0"/>
      <w:marRight w:val="0"/>
      <w:marTop w:val="0"/>
      <w:marBottom w:val="0"/>
      <w:divBdr>
        <w:top w:val="none" w:sz="0" w:space="0" w:color="auto"/>
        <w:left w:val="none" w:sz="0" w:space="0" w:color="auto"/>
        <w:bottom w:val="none" w:sz="0" w:space="0" w:color="auto"/>
        <w:right w:val="none" w:sz="0" w:space="0" w:color="auto"/>
      </w:divBdr>
    </w:div>
    <w:div w:id="993026980">
      <w:bodyDiv w:val="1"/>
      <w:marLeft w:val="0"/>
      <w:marRight w:val="0"/>
      <w:marTop w:val="0"/>
      <w:marBottom w:val="0"/>
      <w:divBdr>
        <w:top w:val="none" w:sz="0" w:space="0" w:color="auto"/>
        <w:left w:val="none" w:sz="0" w:space="0" w:color="auto"/>
        <w:bottom w:val="none" w:sz="0" w:space="0" w:color="auto"/>
        <w:right w:val="none" w:sz="0" w:space="0" w:color="auto"/>
      </w:divBdr>
    </w:div>
    <w:div w:id="1005471640">
      <w:bodyDiv w:val="1"/>
      <w:marLeft w:val="0"/>
      <w:marRight w:val="0"/>
      <w:marTop w:val="0"/>
      <w:marBottom w:val="0"/>
      <w:divBdr>
        <w:top w:val="none" w:sz="0" w:space="0" w:color="auto"/>
        <w:left w:val="none" w:sz="0" w:space="0" w:color="auto"/>
        <w:bottom w:val="none" w:sz="0" w:space="0" w:color="auto"/>
        <w:right w:val="none" w:sz="0" w:space="0" w:color="auto"/>
      </w:divBdr>
    </w:div>
    <w:div w:id="1039860235">
      <w:bodyDiv w:val="1"/>
      <w:marLeft w:val="0"/>
      <w:marRight w:val="0"/>
      <w:marTop w:val="0"/>
      <w:marBottom w:val="0"/>
      <w:divBdr>
        <w:top w:val="none" w:sz="0" w:space="0" w:color="auto"/>
        <w:left w:val="none" w:sz="0" w:space="0" w:color="auto"/>
        <w:bottom w:val="none" w:sz="0" w:space="0" w:color="auto"/>
        <w:right w:val="none" w:sz="0" w:space="0" w:color="auto"/>
      </w:divBdr>
    </w:div>
    <w:div w:id="1041630161">
      <w:bodyDiv w:val="1"/>
      <w:marLeft w:val="0"/>
      <w:marRight w:val="0"/>
      <w:marTop w:val="0"/>
      <w:marBottom w:val="0"/>
      <w:divBdr>
        <w:top w:val="none" w:sz="0" w:space="0" w:color="auto"/>
        <w:left w:val="none" w:sz="0" w:space="0" w:color="auto"/>
        <w:bottom w:val="none" w:sz="0" w:space="0" w:color="auto"/>
        <w:right w:val="none" w:sz="0" w:space="0" w:color="auto"/>
      </w:divBdr>
    </w:div>
    <w:div w:id="1046442274">
      <w:bodyDiv w:val="1"/>
      <w:marLeft w:val="0"/>
      <w:marRight w:val="0"/>
      <w:marTop w:val="0"/>
      <w:marBottom w:val="0"/>
      <w:divBdr>
        <w:top w:val="none" w:sz="0" w:space="0" w:color="auto"/>
        <w:left w:val="none" w:sz="0" w:space="0" w:color="auto"/>
        <w:bottom w:val="none" w:sz="0" w:space="0" w:color="auto"/>
        <w:right w:val="none" w:sz="0" w:space="0" w:color="auto"/>
      </w:divBdr>
    </w:div>
    <w:div w:id="1049109140">
      <w:bodyDiv w:val="1"/>
      <w:marLeft w:val="0"/>
      <w:marRight w:val="0"/>
      <w:marTop w:val="0"/>
      <w:marBottom w:val="0"/>
      <w:divBdr>
        <w:top w:val="none" w:sz="0" w:space="0" w:color="auto"/>
        <w:left w:val="none" w:sz="0" w:space="0" w:color="auto"/>
        <w:bottom w:val="none" w:sz="0" w:space="0" w:color="auto"/>
        <w:right w:val="none" w:sz="0" w:space="0" w:color="auto"/>
      </w:divBdr>
    </w:div>
    <w:div w:id="1110205824">
      <w:bodyDiv w:val="1"/>
      <w:marLeft w:val="0"/>
      <w:marRight w:val="0"/>
      <w:marTop w:val="0"/>
      <w:marBottom w:val="0"/>
      <w:divBdr>
        <w:top w:val="none" w:sz="0" w:space="0" w:color="auto"/>
        <w:left w:val="none" w:sz="0" w:space="0" w:color="auto"/>
        <w:bottom w:val="none" w:sz="0" w:space="0" w:color="auto"/>
        <w:right w:val="none" w:sz="0" w:space="0" w:color="auto"/>
      </w:divBdr>
    </w:div>
    <w:div w:id="1200237118">
      <w:bodyDiv w:val="1"/>
      <w:marLeft w:val="0"/>
      <w:marRight w:val="0"/>
      <w:marTop w:val="0"/>
      <w:marBottom w:val="0"/>
      <w:divBdr>
        <w:top w:val="none" w:sz="0" w:space="0" w:color="auto"/>
        <w:left w:val="none" w:sz="0" w:space="0" w:color="auto"/>
        <w:bottom w:val="none" w:sz="0" w:space="0" w:color="auto"/>
        <w:right w:val="none" w:sz="0" w:space="0" w:color="auto"/>
      </w:divBdr>
    </w:div>
    <w:div w:id="1238899727">
      <w:bodyDiv w:val="1"/>
      <w:marLeft w:val="0"/>
      <w:marRight w:val="0"/>
      <w:marTop w:val="0"/>
      <w:marBottom w:val="0"/>
      <w:divBdr>
        <w:top w:val="none" w:sz="0" w:space="0" w:color="auto"/>
        <w:left w:val="none" w:sz="0" w:space="0" w:color="auto"/>
        <w:bottom w:val="none" w:sz="0" w:space="0" w:color="auto"/>
        <w:right w:val="none" w:sz="0" w:space="0" w:color="auto"/>
      </w:divBdr>
    </w:div>
    <w:div w:id="1241216110">
      <w:bodyDiv w:val="1"/>
      <w:marLeft w:val="0"/>
      <w:marRight w:val="0"/>
      <w:marTop w:val="0"/>
      <w:marBottom w:val="0"/>
      <w:divBdr>
        <w:top w:val="none" w:sz="0" w:space="0" w:color="auto"/>
        <w:left w:val="none" w:sz="0" w:space="0" w:color="auto"/>
        <w:bottom w:val="none" w:sz="0" w:space="0" w:color="auto"/>
        <w:right w:val="none" w:sz="0" w:space="0" w:color="auto"/>
      </w:divBdr>
    </w:div>
    <w:div w:id="1254318647">
      <w:bodyDiv w:val="1"/>
      <w:marLeft w:val="0"/>
      <w:marRight w:val="0"/>
      <w:marTop w:val="0"/>
      <w:marBottom w:val="0"/>
      <w:divBdr>
        <w:top w:val="none" w:sz="0" w:space="0" w:color="auto"/>
        <w:left w:val="none" w:sz="0" w:space="0" w:color="auto"/>
        <w:bottom w:val="none" w:sz="0" w:space="0" w:color="auto"/>
        <w:right w:val="none" w:sz="0" w:space="0" w:color="auto"/>
      </w:divBdr>
    </w:div>
    <w:div w:id="1266961720">
      <w:bodyDiv w:val="1"/>
      <w:marLeft w:val="0"/>
      <w:marRight w:val="0"/>
      <w:marTop w:val="0"/>
      <w:marBottom w:val="0"/>
      <w:divBdr>
        <w:top w:val="none" w:sz="0" w:space="0" w:color="auto"/>
        <w:left w:val="none" w:sz="0" w:space="0" w:color="auto"/>
        <w:bottom w:val="none" w:sz="0" w:space="0" w:color="auto"/>
        <w:right w:val="none" w:sz="0" w:space="0" w:color="auto"/>
      </w:divBdr>
    </w:div>
    <w:div w:id="1273244698">
      <w:bodyDiv w:val="1"/>
      <w:marLeft w:val="0"/>
      <w:marRight w:val="0"/>
      <w:marTop w:val="0"/>
      <w:marBottom w:val="0"/>
      <w:divBdr>
        <w:top w:val="none" w:sz="0" w:space="0" w:color="auto"/>
        <w:left w:val="none" w:sz="0" w:space="0" w:color="auto"/>
        <w:bottom w:val="none" w:sz="0" w:space="0" w:color="auto"/>
        <w:right w:val="none" w:sz="0" w:space="0" w:color="auto"/>
      </w:divBdr>
    </w:div>
    <w:div w:id="1295451983">
      <w:bodyDiv w:val="1"/>
      <w:marLeft w:val="0"/>
      <w:marRight w:val="0"/>
      <w:marTop w:val="0"/>
      <w:marBottom w:val="0"/>
      <w:divBdr>
        <w:top w:val="none" w:sz="0" w:space="0" w:color="auto"/>
        <w:left w:val="none" w:sz="0" w:space="0" w:color="auto"/>
        <w:bottom w:val="none" w:sz="0" w:space="0" w:color="auto"/>
        <w:right w:val="none" w:sz="0" w:space="0" w:color="auto"/>
      </w:divBdr>
    </w:div>
    <w:div w:id="1342659005">
      <w:bodyDiv w:val="1"/>
      <w:marLeft w:val="0"/>
      <w:marRight w:val="0"/>
      <w:marTop w:val="0"/>
      <w:marBottom w:val="0"/>
      <w:divBdr>
        <w:top w:val="none" w:sz="0" w:space="0" w:color="auto"/>
        <w:left w:val="none" w:sz="0" w:space="0" w:color="auto"/>
        <w:bottom w:val="none" w:sz="0" w:space="0" w:color="auto"/>
        <w:right w:val="none" w:sz="0" w:space="0" w:color="auto"/>
      </w:divBdr>
    </w:div>
    <w:div w:id="1355419109">
      <w:bodyDiv w:val="1"/>
      <w:marLeft w:val="0"/>
      <w:marRight w:val="0"/>
      <w:marTop w:val="0"/>
      <w:marBottom w:val="0"/>
      <w:divBdr>
        <w:top w:val="none" w:sz="0" w:space="0" w:color="auto"/>
        <w:left w:val="none" w:sz="0" w:space="0" w:color="auto"/>
        <w:bottom w:val="none" w:sz="0" w:space="0" w:color="auto"/>
        <w:right w:val="none" w:sz="0" w:space="0" w:color="auto"/>
      </w:divBdr>
    </w:div>
    <w:div w:id="1362784429">
      <w:bodyDiv w:val="1"/>
      <w:marLeft w:val="0"/>
      <w:marRight w:val="0"/>
      <w:marTop w:val="0"/>
      <w:marBottom w:val="0"/>
      <w:divBdr>
        <w:top w:val="none" w:sz="0" w:space="0" w:color="auto"/>
        <w:left w:val="none" w:sz="0" w:space="0" w:color="auto"/>
        <w:bottom w:val="none" w:sz="0" w:space="0" w:color="auto"/>
        <w:right w:val="none" w:sz="0" w:space="0" w:color="auto"/>
      </w:divBdr>
    </w:div>
    <w:div w:id="1366565487">
      <w:bodyDiv w:val="1"/>
      <w:marLeft w:val="0"/>
      <w:marRight w:val="0"/>
      <w:marTop w:val="0"/>
      <w:marBottom w:val="0"/>
      <w:divBdr>
        <w:top w:val="none" w:sz="0" w:space="0" w:color="auto"/>
        <w:left w:val="none" w:sz="0" w:space="0" w:color="auto"/>
        <w:bottom w:val="none" w:sz="0" w:space="0" w:color="auto"/>
        <w:right w:val="none" w:sz="0" w:space="0" w:color="auto"/>
      </w:divBdr>
    </w:div>
    <w:div w:id="1367175401">
      <w:bodyDiv w:val="1"/>
      <w:marLeft w:val="0"/>
      <w:marRight w:val="0"/>
      <w:marTop w:val="0"/>
      <w:marBottom w:val="0"/>
      <w:divBdr>
        <w:top w:val="none" w:sz="0" w:space="0" w:color="auto"/>
        <w:left w:val="none" w:sz="0" w:space="0" w:color="auto"/>
        <w:bottom w:val="none" w:sz="0" w:space="0" w:color="auto"/>
        <w:right w:val="none" w:sz="0" w:space="0" w:color="auto"/>
      </w:divBdr>
    </w:div>
    <w:div w:id="1391029526">
      <w:bodyDiv w:val="1"/>
      <w:marLeft w:val="0"/>
      <w:marRight w:val="0"/>
      <w:marTop w:val="0"/>
      <w:marBottom w:val="0"/>
      <w:divBdr>
        <w:top w:val="none" w:sz="0" w:space="0" w:color="auto"/>
        <w:left w:val="none" w:sz="0" w:space="0" w:color="auto"/>
        <w:bottom w:val="none" w:sz="0" w:space="0" w:color="auto"/>
        <w:right w:val="none" w:sz="0" w:space="0" w:color="auto"/>
      </w:divBdr>
    </w:div>
    <w:div w:id="1417365357">
      <w:bodyDiv w:val="1"/>
      <w:marLeft w:val="0"/>
      <w:marRight w:val="0"/>
      <w:marTop w:val="0"/>
      <w:marBottom w:val="0"/>
      <w:divBdr>
        <w:top w:val="none" w:sz="0" w:space="0" w:color="auto"/>
        <w:left w:val="none" w:sz="0" w:space="0" w:color="auto"/>
        <w:bottom w:val="none" w:sz="0" w:space="0" w:color="auto"/>
        <w:right w:val="none" w:sz="0" w:space="0" w:color="auto"/>
      </w:divBdr>
    </w:div>
    <w:div w:id="1430003608">
      <w:bodyDiv w:val="1"/>
      <w:marLeft w:val="0"/>
      <w:marRight w:val="0"/>
      <w:marTop w:val="0"/>
      <w:marBottom w:val="0"/>
      <w:divBdr>
        <w:top w:val="none" w:sz="0" w:space="0" w:color="auto"/>
        <w:left w:val="none" w:sz="0" w:space="0" w:color="auto"/>
        <w:bottom w:val="none" w:sz="0" w:space="0" w:color="auto"/>
        <w:right w:val="none" w:sz="0" w:space="0" w:color="auto"/>
      </w:divBdr>
    </w:div>
    <w:div w:id="1468628212">
      <w:bodyDiv w:val="1"/>
      <w:marLeft w:val="0"/>
      <w:marRight w:val="0"/>
      <w:marTop w:val="0"/>
      <w:marBottom w:val="0"/>
      <w:divBdr>
        <w:top w:val="none" w:sz="0" w:space="0" w:color="auto"/>
        <w:left w:val="none" w:sz="0" w:space="0" w:color="auto"/>
        <w:bottom w:val="none" w:sz="0" w:space="0" w:color="auto"/>
        <w:right w:val="none" w:sz="0" w:space="0" w:color="auto"/>
      </w:divBdr>
    </w:div>
    <w:div w:id="1475102738">
      <w:bodyDiv w:val="1"/>
      <w:marLeft w:val="0"/>
      <w:marRight w:val="0"/>
      <w:marTop w:val="0"/>
      <w:marBottom w:val="0"/>
      <w:divBdr>
        <w:top w:val="none" w:sz="0" w:space="0" w:color="auto"/>
        <w:left w:val="none" w:sz="0" w:space="0" w:color="auto"/>
        <w:bottom w:val="none" w:sz="0" w:space="0" w:color="auto"/>
        <w:right w:val="none" w:sz="0" w:space="0" w:color="auto"/>
      </w:divBdr>
    </w:div>
    <w:div w:id="1476876831">
      <w:bodyDiv w:val="1"/>
      <w:marLeft w:val="0"/>
      <w:marRight w:val="0"/>
      <w:marTop w:val="0"/>
      <w:marBottom w:val="0"/>
      <w:divBdr>
        <w:top w:val="none" w:sz="0" w:space="0" w:color="auto"/>
        <w:left w:val="none" w:sz="0" w:space="0" w:color="auto"/>
        <w:bottom w:val="none" w:sz="0" w:space="0" w:color="auto"/>
        <w:right w:val="none" w:sz="0" w:space="0" w:color="auto"/>
      </w:divBdr>
    </w:div>
    <w:div w:id="1483427906">
      <w:bodyDiv w:val="1"/>
      <w:marLeft w:val="0"/>
      <w:marRight w:val="0"/>
      <w:marTop w:val="0"/>
      <w:marBottom w:val="0"/>
      <w:divBdr>
        <w:top w:val="none" w:sz="0" w:space="0" w:color="auto"/>
        <w:left w:val="none" w:sz="0" w:space="0" w:color="auto"/>
        <w:bottom w:val="none" w:sz="0" w:space="0" w:color="auto"/>
        <w:right w:val="none" w:sz="0" w:space="0" w:color="auto"/>
      </w:divBdr>
    </w:div>
    <w:div w:id="1492022977">
      <w:bodyDiv w:val="1"/>
      <w:marLeft w:val="0"/>
      <w:marRight w:val="0"/>
      <w:marTop w:val="0"/>
      <w:marBottom w:val="0"/>
      <w:divBdr>
        <w:top w:val="none" w:sz="0" w:space="0" w:color="auto"/>
        <w:left w:val="none" w:sz="0" w:space="0" w:color="auto"/>
        <w:bottom w:val="none" w:sz="0" w:space="0" w:color="auto"/>
        <w:right w:val="none" w:sz="0" w:space="0" w:color="auto"/>
      </w:divBdr>
    </w:div>
    <w:div w:id="1532765735">
      <w:bodyDiv w:val="1"/>
      <w:marLeft w:val="0"/>
      <w:marRight w:val="0"/>
      <w:marTop w:val="0"/>
      <w:marBottom w:val="0"/>
      <w:divBdr>
        <w:top w:val="none" w:sz="0" w:space="0" w:color="auto"/>
        <w:left w:val="none" w:sz="0" w:space="0" w:color="auto"/>
        <w:bottom w:val="none" w:sz="0" w:space="0" w:color="auto"/>
        <w:right w:val="none" w:sz="0" w:space="0" w:color="auto"/>
      </w:divBdr>
    </w:div>
    <w:div w:id="1552422992">
      <w:bodyDiv w:val="1"/>
      <w:marLeft w:val="0"/>
      <w:marRight w:val="0"/>
      <w:marTop w:val="0"/>
      <w:marBottom w:val="0"/>
      <w:divBdr>
        <w:top w:val="none" w:sz="0" w:space="0" w:color="auto"/>
        <w:left w:val="none" w:sz="0" w:space="0" w:color="auto"/>
        <w:bottom w:val="none" w:sz="0" w:space="0" w:color="auto"/>
        <w:right w:val="none" w:sz="0" w:space="0" w:color="auto"/>
      </w:divBdr>
    </w:div>
    <w:div w:id="1590044712">
      <w:bodyDiv w:val="1"/>
      <w:marLeft w:val="0"/>
      <w:marRight w:val="0"/>
      <w:marTop w:val="0"/>
      <w:marBottom w:val="0"/>
      <w:divBdr>
        <w:top w:val="none" w:sz="0" w:space="0" w:color="auto"/>
        <w:left w:val="none" w:sz="0" w:space="0" w:color="auto"/>
        <w:bottom w:val="none" w:sz="0" w:space="0" w:color="auto"/>
        <w:right w:val="none" w:sz="0" w:space="0" w:color="auto"/>
      </w:divBdr>
    </w:div>
    <w:div w:id="1604650013">
      <w:bodyDiv w:val="1"/>
      <w:marLeft w:val="0"/>
      <w:marRight w:val="0"/>
      <w:marTop w:val="0"/>
      <w:marBottom w:val="0"/>
      <w:divBdr>
        <w:top w:val="none" w:sz="0" w:space="0" w:color="auto"/>
        <w:left w:val="none" w:sz="0" w:space="0" w:color="auto"/>
        <w:bottom w:val="none" w:sz="0" w:space="0" w:color="auto"/>
        <w:right w:val="none" w:sz="0" w:space="0" w:color="auto"/>
      </w:divBdr>
    </w:div>
    <w:div w:id="1624340489">
      <w:bodyDiv w:val="1"/>
      <w:marLeft w:val="0"/>
      <w:marRight w:val="0"/>
      <w:marTop w:val="0"/>
      <w:marBottom w:val="0"/>
      <w:divBdr>
        <w:top w:val="none" w:sz="0" w:space="0" w:color="auto"/>
        <w:left w:val="none" w:sz="0" w:space="0" w:color="auto"/>
        <w:bottom w:val="none" w:sz="0" w:space="0" w:color="auto"/>
        <w:right w:val="none" w:sz="0" w:space="0" w:color="auto"/>
      </w:divBdr>
    </w:div>
    <w:div w:id="1642927787">
      <w:bodyDiv w:val="1"/>
      <w:marLeft w:val="0"/>
      <w:marRight w:val="0"/>
      <w:marTop w:val="0"/>
      <w:marBottom w:val="0"/>
      <w:divBdr>
        <w:top w:val="none" w:sz="0" w:space="0" w:color="auto"/>
        <w:left w:val="none" w:sz="0" w:space="0" w:color="auto"/>
        <w:bottom w:val="none" w:sz="0" w:space="0" w:color="auto"/>
        <w:right w:val="none" w:sz="0" w:space="0" w:color="auto"/>
      </w:divBdr>
    </w:div>
    <w:div w:id="1665862892">
      <w:bodyDiv w:val="1"/>
      <w:marLeft w:val="0"/>
      <w:marRight w:val="0"/>
      <w:marTop w:val="0"/>
      <w:marBottom w:val="0"/>
      <w:divBdr>
        <w:top w:val="none" w:sz="0" w:space="0" w:color="auto"/>
        <w:left w:val="none" w:sz="0" w:space="0" w:color="auto"/>
        <w:bottom w:val="none" w:sz="0" w:space="0" w:color="auto"/>
        <w:right w:val="none" w:sz="0" w:space="0" w:color="auto"/>
      </w:divBdr>
    </w:div>
    <w:div w:id="1686251779">
      <w:bodyDiv w:val="1"/>
      <w:marLeft w:val="0"/>
      <w:marRight w:val="0"/>
      <w:marTop w:val="0"/>
      <w:marBottom w:val="0"/>
      <w:divBdr>
        <w:top w:val="none" w:sz="0" w:space="0" w:color="auto"/>
        <w:left w:val="none" w:sz="0" w:space="0" w:color="auto"/>
        <w:bottom w:val="none" w:sz="0" w:space="0" w:color="auto"/>
        <w:right w:val="none" w:sz="0" w:space="0" w:color="auto"/>
      </w:divBdr>
    </w:div>
    <w:div w:id="1699889559">
      <w:bodyDiv w:val="1"/>
      <w:marLeft w:val="0"/>
      <w:marRight w:val="0"/>
      <w:marTop w:val="0"/>
      <w:marBottom w:val="0"/>
      <w:divBdr>
        <w:top w:val="none" w:sz="0" w:space="0" w:color="auto"/>
        <w:left w:val="none" w:sz="0" w:space="0" w:color="auto"/>
        <w:bottom w:val="none" w:sz="0" w:space="0" w:color="auto"/>
        <w:right w:val="none" w:sz="0" w:space="0" w:color="auto"/>
      </w:divBdr>
    </w:div>
    <w:div w:id="1710912764">
      <w:bodyDiv w:val="1"/>
      <w:marLeft w:val="0"/>
      <w:marRight w:val="0"/>
      <w:marTop w:val="0"/>
      <w:marBottom w:val="0"/>
      <w:divBdr>
        <w:top w:val="none" w:sz="0" w:space="0" w:color="auto"/>
        <w:left w:val="none" w:sz="0" w:space="0" w:color="auto"/>
        <w:bottom w:val="none" w:sz="0" w:space="0" w:color="auto"/>
        <w:right w:val="none" w:sz="0" w:space="0" w:color="auto"/>
      </w:divBdr>
    </w:div>
    <w:div w:id="1718317166">
      <w:bodyDiv w:val="1"/>
      <w:marLeft w:val="0"/>
      <w:marRight w:val="0"/>
      <w:marTop w:val="0"/>
      <w:marBottom w:val="0"/>
      <w:divBdr>
        <w:top w:val="none" w:sz="0" w:space="0" w:color="auto"/>
        <w:left w:val="none" w:sz="0" w:space="0" w:color="auto"/>
        <w:bottom w:val="none" w:sz="0" w:space="0" w:color="auto"/>
        <w:right w:val="none" w:sz="0" w:space="0" w:color="auto"/>
      </w:divBdr>
    </w:div>
    <w:div w:id="1761442953">
      <w:bodyDiv w:val="1"/>
      <w:marLeft w:val="0"/>
      <w:marRight w:val="0"/>
      <w:marTop w:val="0"/>
      <w:marBottom w:val="0"/>
      <w:divBdr>
        <w:top w:val="none" w:sz="0" w:space="0" w:color="auto"/>
        <w:left w:val="none" w:sz="0" w:space="0" w:color="auto"/>
        <w:bottom w:val="none" w:sz="0" w:space="0" w:color="auto"/>
        <w:right w:val="none" w:sz="0" w:space="0" w:color="auto"/>
      </w:divBdr>
    </w:div>
    <w:div w:id="1763798617">
      <w:bodyDiv w:val="1"/>
      <w:marLeft w:val="0"/>
      <w:marRight w:val="0"/>
      <w:marTop w:val="0"/>
      <w:marBottom w:val="0"/>
      <w:divBdr>
        <w:top w:val="none" w:sz="0" w:space="0" w:color="auto"/>
        <w:left w:val="none" w:sz="0" w:space="0" w:color="auto"/>
        <w:bottom w:val="none" w:sz="0" w:space="0" w:color="auto"/>
        <w:right w:val="none" w:sz="0" w:space="0" w:color="auto"/>
      </w:divBdr>
    </w:div>
    <w:div w:id="1768302999">
      <w:bodyDiv w:val="1"/>
      <w:marLeft w:val="0"/>
      <w:marRight w:val="0"/>
      <w:marTop w:val="0"/>
      <w:marBottom w:val="0"/>
      <w:divBdr>
        <w:top w:val="none" w:sz="0" w:space="0" w:color="auto"/>
        <w:left w:val="none" w:sz="0" w:space="0" w:color="auto"/>
        <w:bottom w:val="none" w:sz="0" w:space="0" w:color="auto"/>
        <w:right w:val="none" w:sz="0" w:space="0" w:color="auto"/>
      </w:divBdr>
    </w:div>
    <w:div w:id="1768309416">
      <w:bodyDiv w:val="1"/>
      <w:marLeft w:val="0"/>
      <w:marRight w:val="0"/>
      <w:marTop w:val="0"/>
      <w:marBottom w:val="0"/>
      <w:divBdr>
        <w:top w:val="none" w:sz="0" w:space="0" w:color="auto"/>
        <w:left w:val="none" w:sz="0" w:space="0" w:color="auto"/>
        <w:bottom w:val="none" w:sz="0" w:space="0" w:color="auto"/>
        <w:right w:val="none" w:sz="0" w:space="0" w:color="auto"/>
      </w:divBdr>
      <w:divsChild>
        <w:div w:id="1702123672">
          <w:marLeft w:val="0"/>
          <w:marRight w:val="0"/>
          <w:marTop w:val="0"/>
          <w:marBottom w:val="0"/>
          <w:divBdr>
            <w:top w:val="none" w:sz="0" w:space="0" w:color="auto"/>
            <w:left w:val="none" w:sz="0" w:space="0" w:color="auto"/>
            <w:bottom w:val="none" w:sz="0" w:space="0" w:color="auto"/>
            <w:right w:val="none" w:sz="0" w:space="0" w:color="auto"/>
          </w:divBdr>
        </w:div>
      </w:divsChild>
    </w:div>
    <w:div w:id="1780833044">
      <w:bodyDiv w:val="1"/>
      <w:marLeft w:val="0"/>
      <w:marRight w:val="0"/>
      <w:marTop w:val="0"/>
      <w:marBottom w:val="0"/>
      <w:divBdr>
        <w:top w:val="none" w:sz="0" w:space="0" w:color="auto"/>
        <w:left w:val="none" w:sz="0" w:space="0" w:color="auto"/>
        <w:bottom w:val="none" w:sz="0" w:space="0" w:color="auto"/>
        <w:right w:val="none" w:sz="0" w:space="0" w:color="auto"/>
      </w:divBdr>
    </w:div>
    <w:div w:id="1783259494">
      <w:bodyDiv w:val="1"/>
      <w:marLeft w:val="0"/>
      <w:marRight w:val="0"/>
      <w:marTop w:val="0"/>
      <w:marBottom w:val="0"/>
      <w:divBdr>
        <w:top w:val="none" w:sz="0" w:space="0" w:color="auto"/>
        <w:left w:val="none" w:sz="0" w:space="0" w:color="auto"/>
        <w:bottom w:val="none" w:sz="0" w:space="0" w:color="auto"/>
        <w:right w:val="none" w:sz="0" w:space="0" w:color="auto"/>
      </w:divBdr>
    </w:div>
    <w:div w:id="1814369864">
      <w:bodyDiv w:val="1"/>
      <w:marLeft w:val="0"/>
      <w:marRight w:val="0"/>
      <w:marTop w:val="0"/>
      <w:marBottom w:val="0"/>
      <w:divBdr>
        <w:top w:val="none" w:sz="0" w:space="0" w:color="auto"/>
        <w:left w:val="none" w:sz="0" w:space="0" w:color="auto"/>
        <w:bottom w:val="none" w:sz="0" w:space="0" w:color="auto"/>
        <w:right w:val="none" w:sz="0" w:space="0" w:color="auto"/>
      </w:divBdr>
    </w:div>
    <w:div w:id="1816332954">
      <w:bodyDiv w:val="1"/>
      <w:marLeft w:val="0"/>
      <w:marRight w:val="0"/>
      <w:marTop w:val="0"/>
      <w:marBottom w:val="0"/>
      <w:divBdr>
        <w:top w:val="none" w:sz="0" w:space="0" w:color="auto"/>
        <w:left w:val="none" w:sz="0" w:space="0" w:color="auto"/>
        <w:bottom w:val="none" w:sz="0" w:space="0" w:color="auto"/>
        <w:right w:val="none" w:sz="0" w:space="0" w:color="auto"/>
      </w:divBdr>
      <w:divsChild>
        <w:div w:id="1013067877">
          <w:marLeft w:val="0"/>
          <w:marRight w:val="0"/>
          <w:marTop w:val="0"/>
          <w:marBottom w:val="0"/>
          <w:divBdr>
            <w:top w:val="none" w:sz="0" w:space="0" w:color="auto"/>
            <w:left w:val="none" w:sz="0" w:space="0" w:color="auto"/>
            <w:bottom w:val="none" w:sz="0" w:space="0" w:color="auto"/>
            <w:right w:val="none" w:sz="0" w:space="0" w:color="auto"/>
          </w:divBdr>
        </w:div>
      </w:divsChild>
    </w:div>
    <w:div w:id="1826437735">
      <w:bodyDiv w:val="1"/>
      <w:marLeft w:val="0"/>
      <w:marRight w:val="0"/>
      <w:marTop w:val="0"/>
      <w:marBottom w:val="0"/>
      <w:divBdr>
        <w:top w:val="none" w:sz="0" w:space="0" w:color="auto"/>
        <w:left w:val="none" w:sz="0" w:space="0" w:color="auto"/>
        <w:bottom w:val="none" w:sz="0" w:space="0" w:color="auto"/>
        <w:right w:val="none" w:sz="0" w:space="0" w:color="auto"/>
      </w:divBdr>
    </w:div>
    <w:div w:id="1839418021">
      <w:bodyDiv w:val="1"/>
      <w:marLeft w:val="0"/>
      <w:marRight w:val="0"/>
      <w:marTop w:val="0"/>
      <w:marBottom w:val="0"/>
      <w:divBdr>
        <w:top w:val="none" w:sz="0" w:space="0" w:color="auto"/>
        <w:left w:val="none" w:sz="0" w:space="0" w:color="auto"/>
        <w:bottom w:val="none" w:sz="0" w:space="0" w:color="auto"/>
        <w:right w:val="none" w:sz="0" w:space="0" w:color="auto"/>
      </w:divBdr>
    </w:div>
    <w:div w:id="1841314829">
      <w:bodyDiv w:val="1"/>
      <w:marLeft w:val="0"/>
      <w:marRight w:val="0"/>
      <w:marTop w:val="0"/>
      <w:marBottom w:val="0"/>
      <w:divBdr>
        <w:top w:val="none" w:sz="0" w:space="0" w:color="auto"/>
        <w:left w:val="none" w:sz="0" w:space="0" w:color="auto"/>
        <w:bottom w:val="none" w:sz="0" w:space="0" w:color="auto"/>
        <w:right w:val="none" w:sz="0" w:space="0" w:color="auto"/>
      </w:divBdr>
    </w:div>
    <w:div w:id="1846745845">
      <w:bodyDiv w:val="1"/>
      <w:marLeft w:val="0"/>
      <w:marRight w:val="0"/>
      <w:marTop w:val="0"/>
      <w:marBottom w:val="0"/>
      <w:divBdr>
        <w:top w:val="none" w:sz="0" w:space="0" w:color="auto"/>
        <w:left w:val="none" w:sz="0" w:space="0" w:color="auto"/>
        <w:bottom w:val="none" w:sz="0" w:space="0" w:color="auto"/>
        <w:right w:val="none" w:sz="0" w:space="0" w:color="auto"/>
      </w:divBdr>
    </w:div>
    <w:div w:id="1897472257">
      <w:bodyDiv w:val="1"/>
      <w:marLeft w:val="0"/>
      <w:marRight w:val="0"/>
      <w:marTop w:val="0"/>
      <w:marBottom w:val="0"/>
      <w:divBdr>
        <w:top w:val="none" w:sz="0" w:space="0" w:color="auto"/>
        <w:left w:val="none" w:sz="0" w:space="0" w:color="auto"/>
        <w:bottom w:val="none" w:sz="0" w:space="0" w:color="auto"/>
        <w:right w:val="none" w:sz="0" w:space="0" w:color="auto"/>
      </w:divBdr>
    </w:div>
    <w:div w:id="1931814098">
      <w:bodyDiv w:val="1"/>
      <w:marLeft w:val="0"/>
      <w:marRight w:val="0"/>
      <w:marTop w:val="0"/>
      <w:marBottom w:val="0"/>
      <w:divBdr>
        <w:top w:val="none" w:sz="0" w:space="0" w:color="auto"/>
        <w:left w:val="none" w:sz="0" w:space="0" w:color="auto"/>
        <w:bottom w:val="none" w:sz="0" w:space="0" w:color="auto"/>
        <w:right w:val="none" w:sz="0" w:space="0" w:color="auto"/>
      </w:divBdr>
    </w:div>
    <w:div w:id="1932158104">
      <w:bodyDiv w:val="1"/>
      <w:marLeft w:val="0"/>
      <w:marRight w:val="0"/>
      <w:marTop w:val="0"/>
      <w:marBottom w:val="0"/>
      <w:divBdr>
        <w:top w:val="none" w:sz="0" w:space="0" w:color="auto"/>
        <w:left w:val="none" w:sz="0" w:space="0" w:color="auto"/>
        <w:bottom w:val="none" w:sz="0" w:space="0" w:color="auto"/>
        <w:right w:val="none" w:sz="0" w:space="0" w:color="auto"/>
      </w:divBdr>
    </w:div>
    <w:div w:id="1944148759">
      <w:bodyDiv w:val="1"/>
      <w:marLeft w:val="0"/>
      <w:marRight w:val="0"/>
      <w:marTop w:val="0"/>
      <w:marBottom w:val="0"/>
      <w:divBdr>
        <w:top w:val="none" w:sz="0" w:space="0" w:color="auto"/>
        <w:left w:val="none" w:sz="0" w:space="0" w:color="auto"/>
        <w:bottom w:val="none" w:sz="0" w:space="0" w:color="auto"/>
        <w:right w:val="none" w:sz="0" w:space="0" w:color="auto"/>
      </w:divBdr>
    </w:div>
    <w:div w:id="1947040382">
      <w:bodyDiv w:val="1"/>
      <w:marLeft w:val="0"/>
      <w:marRight w:val="0"/>
      <w:marTop w:val="0"/>
      <w:marBottom w:val="0"/>
      <w:divBdr>
        <w:top w:val="none" w:sz="0" w:space="0" w:color="auto"/>
        <w:left w:val="none" w:sz="0" w:space="0" w:color="auto"/>
        <w:bottom w:val="none" w:sz="0" w:space="0" w:color="auto"/>
        <w:right w:val="none" w:sz="0" w:space="0" w:color="auto"/>
      </w:divBdr>
    </w:div>
    <w:div w:id="1964144858">
      <w:bodyDiv w:val="1"/>
      <w:marLeft w:val="0"/>
      <w:marRight w:val="0"/>
      <w:marTop w:val="0"/>
      <w:marBottom w:val="0"/>
      <w:divBdr>
        <w:top w:val="none" w:sz="0" w:space="0" w:color="auto"/>
        <w:left w:val="none" w:sz="0" w:space="0" w:color="auto"/>
        <w:bottom w:val="none" w:sz="0" w:space="0" w:color="auto"/>
        <w:right w:val="none" w:sz="0" w:space="0" w:color="auto"/>
      </w:divBdr>
    </w:div>
    <w:div w:id="1991011106">
      <w:bodyDiv w:val="1"/>
      <w:marLeft w:val="0"/>
      <w:marRight w:val="0"/>
      <w:marTop w:val="0"/>
      <w:marBottom w:val="0"/>
      <w:divBdr>
        <w:top w:val="none" w:sz="0" w:space="0" w:color="auto"/>
        <w:left w:val="none" w:sz="0" w:space="0" w:color="auto"/>
        <w:bottom w:val="none" w:sz="0" w:space="0" w:color="auto"/>
        <w:right w:val="none" w:sz="0" w:space="0" w:color="auto"/>
      </w:divBdr>
    </w:div>
    <w:div w:id="2017536368">
      <w:bodyDiv w:val="1"/>
      <w:marLeft w:val="0"/>
      <w:marRight w:val="0"/>
      <w:marTop w:val="0"/>
      <w:marBottom w:val="0"/>
      <w:divBdr>
        <w:top w:val="none" w:sz="0" w:space="0" w:color="auto"/>
        <w:left w:val="none" w:sz="0" w:space="0" w:color="auto"/>
        <w:bottom w:val="none" w:sz="0" w:space="0" w:color="auto"/>
        <w:right w:val="none" w:sz="0" w:space="0" w:color="auto"/>
      </w:divBdr>
    </w:div>
    <w:div w:id="2034651025">
      <w:bodyDiv w:val="1"/>
      <w:marLeft w:val="0"/>
      <w:marRight w:val="0"/>
      <w:marTop w:val="0"/>
      <w:marBottom w:val="0"/>
      <w:divBdr>
        <w:top w:val="none" w:sz="0" w:space="0" w:color="auto"/>
        <w:left w:val="none" w:sz="0" w:space="0" w:color="auto"/>
        <w:bottom w:val="none" w:sz="0" w:space="0" w:color="auto"/>
        <w:right w:val="none" w:sz="0" w:space="0" w:color="auto"/>
      </w:divBdr>
    </w:div>
    <w:div w:id="2050377894">
      <w:bodyDiv w:val="1"/>
      <w:marLeft w:val="0"/>
      <w:marRight w:val="0"/>
      <w:marTop w:val="0"/>
      <w:marBottom w:val="0"/>
      <w:divBdr>
        <w:top w:val="none" w:sz="0" w:space="0" w:color="auto"/>
        <w:left w:val="none" w:sz="0" w:space="0" w:color="auto"/>
        <w:bottom w:val="none" w:sz="0" w:space="0" w:color="auto"/>
        <w:right w:val="none" w:sz="0" w:space="0" w:color="auto"/>
      </w:divBdr>
    </w:div>
    <w:div w:id="2053266665">
      <w:bodyDiv w:val="1"/>
      <w:marLeft w:val="0"/>
      <w:marRight w:val="0"/>
      <w:marTop w:val="0"/>
      <w:marBottom w:val="0"/>
      <w:divBdr>
        <w:top w:val="none" w:sz="0" w:space="0" w:color="auto"/>
        <w:left w:val="none" w:sz="0" w:space="0" w:color="auto"/>
        <w:bottom w:val="none" w:sz="0" w:space="0" w:color="auto"/>
        <w:right w:val="none" w:sz="0" w:space="0" w:color="auto"/>
      </w:divBdr>
    </w:div>
    <w:div w:id="2073313119">
      <w:bodyDiv w:val="1"/>
      <w:marLeft w:val="0"/>
      <w:marRight w:val="0"/>
      <w:marTop w:val="0"/>
      <w:marBottom w:val="0"/>
      <w:divBdr>
        <w:top w:val="none" w:sz="0" w:space="0" w:color="auto"/>
        <w:left w:val="none" w:sz="0" w:space="0" w:color="auto"/>
        <w:bottom w:val="none" w:sz="0" w:space="0" w:color="auto"/>
        <w:right w:val="none" w:sz="0" w:space="0" w:color="auto"/>
      </w:divBdr>
    </w:div>
    <w:div w:id="2085488679">
      <w:bodyDiv w:val="1"/>
      <w:marLeft w:val="0"/>
      <w:marRight w:val="0"/>
      <w:marTop w:val="0"/>
      <w:marBottom w:val="0"/>
      <w:divBdr>
        <w:top w:val="none" w:sz="0" w:space="0" w:color="auto"/>
        <w:left w:val="none" w:sz="0" w:space="0" w:color="auto"/>
        <w:bottom w:val="none" w:sz="0" w:space="0" w:color="auto"/>
        <w:right w:val="none" w:sz="0" w:space="0" w:color="auto"/>
      </w:divBdr>
    </w:div>
    <w:div w:id="2087875926">
      <w:bodyDiv w:val="1"/>
      <w:marLeft w:val="0"/>
      <w:marRight w:val="0"/>
      <w:marTop w:val="0"/>
      <w:marBottom w:val="0"/>
      <w:divBdr>
        <w:top w:val="none" w:sz="0" w:space="0" w:color="auto"/>
        <w:left w:val="none" w:sz="0" w:space="0" w:color="auto"/>
        <w:bottom w:val="none" w:sz="0" w:space="0" w:color="auto"/>
        <w:right w:val="none" w:sz="0" w:space="0" w:color="auto"/>
      </w:divBdr>
      <w:divsChild>
        <w:div w:id="1613435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s.wikipedia.org/wiki/Educaci%C3%B3n_superior_en_Chile" TargetMode="External"/><Relationship Id="rId1" Type="http://schemas.openxmlformats.org/officeDocument/2006/relationships/hyperlink" Target="https://es.wikipedia.org/wiki/Consejo_de_Rectores_de_las_Universidades_Chilena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carlos:Dropbox:Trabajo%20Asesor%20Parlamentario:Junio%202018:Educaci&#243;n%20Superior:Datos:Base%20de%20datos%20matr&#237;culas%20IES%202005-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arlos:Dropbox:Trabajo%20Asesor%20Parlamentario:Junio%202018:Educaci&#243;n%20Superior:Datos:Deserci&#243;n%20universitaria%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3"/>
          <c:order val="3"/>
          <c:tx>
            <c:strRef>
              <c:f>'Crec. Matrícula 1er año'!$B$22</c:f>
              <c:strCache>
                <c:ptCount val="1"/>
                <c:pt idx="0">
                  <c:v>Total (eje secundario)</c:v>
                </c:pt>
              </c:strCache>
            </c:strRef>
          </c:tx>
          <c:spPr>
            <a:solidFill>
              <a:schemeClr val="accent5">
                <a:lumMod val="60000"/>
                <a:lumOff val="40000"/>
              </a:schemeClr>
            </a:solidFill>
            <a:ln>
              <a:solidFill>
                <a:schemeClr val="accent5">
                  <a:lumMod val="60000"/>
                  <a:lumOff val="40000"/>
                </a:schemeClr>
              </a:solidFill>
            </a:ln>
          </c:spPr>
          <c:invertIfNegative val="0"/>
          <c:dLbls>
            <c:dLbl>
              <c:idx val="11"/>
              <c:layout>
                <c:manualLayout>
                  <c:x val="1.84842883548997E-3"/>
                  <c:y val="8.15450643776824E-2"/>
                </c:manualLayout>
              </c:layout>
              <c:showLegendKey val="0"/>
              <c:showVal val="1"/>
              <c:showCatName val="0"/>
              <c:showSerName val="0"/>
              <c:showPercent val="0"/>
              <c:showBubbleSize val="0"/>
            </c:dLbl>
            <c:txPr>
              <a:bodyPr/>
              <a:lstStyle/>
              <a:p>
                <a:pPr>
                  <a:defRPr b="1"/>
                </a:pPr>
                <a:endParaRPr lang="es-ES"/>
              </a:p>
            </c:txPr>
            <c:showLegendKey val="0"/>
            <c:showVal val="0"/>
            <c:showCatName val="0"/>
            <c:showSerName val="0"/>
            <c:showPercent val="0"/>
            <c:showBubbleSize val="0"/>
          </c:dLbls>
          <c:cat>
            <c:numRef>
              <c:f>'Crec. Matrícula 1er año'!$C$12:$N$12</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'Crec. Matrícula 1er año'!$C$22:$N$22</c:f>
              <c:numCache>
                <c:formatCode>0</c:formatCode>
                <c:ptCount val="12"/>
                <c:pt idx="0">
                  <c:v>220.75700000000001</c:v>
                </c:pt>
                <c:pt idx="1">
                  <c:v>233.70099999999999</c:v>
                </c:pt>
                <c:pt idx="2">
                  <c:v>245.184</c:v>
                </c:pt>
                <c:pt idx="3">
                  <c:v>269.25299999999999</c:v>
                </c:pt>
                <c:pt idx="4">
                  <c:v>306.26900000000001</c:v>
                </c:pt>
                <c:pt idx="5">
                  <c:v>324.51499999999999</c:v>
                </c:pt>
                <c:pt idx="6">
                  <c:v>324.17399999999998</c:v>
                </c:pt>
                <c:pt idx="7">
                  <c:v>341.58499999999998</c:v>
                </c:pt>
                <c:pt idx="8">
                  <c:v>341.95</c:v>
                </c:pt>
                <c:pt idx="9">
                  <c:v>340.59100000000001</c:v>
                </c:pt>
                <c:pt idx="10">
                  <c:v>346.88200000000001</c:v>
                </c:pt>
                <c:pt idx="11">
                  <c:v>344.18900000000002</c:v>
                </c:pt>
              </c:numCache>
            </c:numRef>
          </c:val>
        </c:ser>
        <c:dLbls>
          <c:showLegendKey val="0"/>
          <c:showVal val="0"/>
          <c:showCatName val="0"/>
          <c:showSerName val="0"/>
          <c:showPercent val="0"/>
          <c:showBubbleSize val="0"/>
        </c:dLbls>
        <c:gapWidth val="150"/>
        <c:axId val="135945728"/>
        <c:axId val="139025152"/>
      </c:barChart>
      <c:lineChart>
        <c:grouping val="standard"/>
        <c:varyColors val="0"/>
        <c:ser>
          <c:idx val="0"/>
          <c:order val="0"/>
          <c:tx>
            <c:strRef>
              <c:f>'Crec. Matrícula 1er año'!$B$19</c:f>
              <c:strCache>
                <c:ptCount val="1"/>
                <c:pt idx="0">
                  <c:v>C.F.T.</c:v>
                </c:pt>
              </c:strCache>
            </c:strRef>
          </c:tx>
          <c:spPr>
            <a:ln>
              <a:solidFill>
                <a:schemeClr val="accent6">
                  <a:lumMod val="75000"/>
                </a:schemeClr>
              </a:solidFill>
            </a:ln>
          </c:spPr>
          <c:marker>
            <c:symbol val="none"/>
          </c:marker>
          <c:dLbls>
            <c:dLbl>
              <c:idx val="11"/>
              <c:layout>
                <c:manualLayout>
                  <c:x val="-2.3010158353423699E-2"/>
                  <c:y val="1.28756501338541E-2"/>
                </c:manualLayout>
              </c:layout>
              <c:showLegendKey val="0"/>
              <c:showVal val="1"/>
              <c:showCatName val="0"/>
              <c:showSerName val="0"/>
              <c:showPercent val="0"/>
              <c:showBubbleSize val="0"/>
            </c:dLbl>
            <c:txPr>
              <a:bodyPr/>
              <a:lstStyle/>
              <a:p>
                <a:pPr>
                  <a:defRPr b="1">
                    <a:solidFill>
                      <a:srgbClr val="000000"/>
                    </a:solidFill>
                  </a:defRPr>
                </a:pPr>
                <a:endParaRPr lang="es-ES"/>
              </a:p>
            </c:txPr>
            <c:showLegendKey val="0"/>
            <c:showVal val="0"/>
            <c:showCatName val="0"/>
            <c:showSerName val="0"/>
            <c:showPercent val="0"/>
            <c:showBubbleSize val="0"/>
          </c:dLbls>
          <c:cat>
            <c:numRef>
              <c:f>'Crec. Matrícula 1er año'!$C$12:$N$12</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'Crec. Matrícula 1er año'!$C$19:$N$19</c:f>
              <c:numCache>
                <c:formatCode>0</c:formatCode>
                <c:ptCount val="12"/>
                <c:pt idx="0">
                  <c:v>37.079000000000001</c:v>
                </c:pt>
                <c:pt idx="1">
                  <c:v>42.579000000000001</c:v>
                </c:pt>
                <c:pt idx="2">
                  <c:v>47.475999999999999</c:v>
                </c:pt>
                <c:pt idx="3">
                  <c:v>50.78</c:v>
                </c:pt>
                <c:pt idx="4">
                  <c:v>60.859000000000002</c:v>
                </c:pt>
                <c:pt idx="5">
                  <c:v>63.003</c:v>
                </c:pt>
                <c:pt idx="6">
                  <c:v>60.87</c:v>
                </c:pt>
                <c:pt idx="7">
                  <c:v>63.622999999999998</c:v>
                </c:pt>
                <c:pt idx="8">
                  <c:v>65.540999999999997</c:v>
                </c:pt>
                <c:pt idx="9">
                  <c:v>62.557000000000002</c:v>
                </c:pt>
                <c:pt idx="10">
                  <c:v>59.307000000000002</c:v>
                </c:pt>
                <c:pt idx="11">
                  <c:v>58.816000000000003</c:v>
                </c:pt>
              </c:numCache>
            </c:numRef>
          </c:val>
          <c:smooth val="0"/>
        </c:ser>
        <c:ser>
          <c:idx val="1"/>
          <c:order val="1"/>
          <c:tx>
            <c:strRef>
              <c:f>'Crec. Matrícula 1er año'!$B$20</c:f>
              <c:strCache>
                <c:ptCount val="1"/>
                <c:pt idx="0">
                  <c:v>I.P.</c:v>
                </c:pt>
              </c:strCache>
            </c:strRef>
          </c:tx>
          <c:spPr>
            <a:ln>
              <a:solidFill>
                <a:schemeClr val="tx2"/>
              </a:solidFill>
            </a:ln>
          </c:spPr>
          <c:marker>
            <c:symbol val="none"/>
          </c:marker>
          <c:dLbls>
            <c:dLbl>
              <c:idx val="11"/>
              <c:layout>
                <c:manualLayout>
                  <c:x val="-3.3271719038817003E-2"/>
                  <c:y val="3.0042918454935601E-2"/>
                </c:manualLayout>
              </c:layout>
              <c:spPr/>
              <c:txPr>
                <a:bodyPr/>
                <a:lstStyle/>
                <a:p>
                  <a:pPr>
                    <a:defRPr b="1">
                      <a:solidFill>
                        <a:srgbClr val="000000"/>
                      </a:solidFill>
                    </a:defRPr>
                  </a:pPr>
                  <a:endParaRPr lang="es-ES"/>
                </a:p>
              </c:txPr>
              <c:showLegendKey val="0"/>
              <c:showVal val="1"/>
              <c:showCatName val="0"/>
              <c:showSerName val="0"/>
              <c:showPercent val="0"/>
              <c:showBubbleSize val="0"/>
            </c:dLbl>
            <c:showLegendKey val="0"/>
            <c:showVal val="0"/>
            <c:showCatName val="0"/>
            <c:showSerName val="0"/>
            <c:showPercent val="0"/>
            <c:showBubbleSize val="0"/>
          </c:dLbls>
          <c:cat>
            <c:numRef>
              <c:f>'Crec. Matrícula 1er año'!$C$12:$N$12</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'Crec. Matrícula 1er año'!$C$20:$N$20</c:f>
              <c:numCache>
                <c:formatCode>0</c:formatCode>
                <c:ptCount val="12"/>
                <c:pt idx="0">
                  <c:v>55.829000000000001</c:v>
                </c:pt>
                <c:pt idx="1">
                  <c:v>61.33</c:v>
                </c:pt>
                <c:pt idx="2">
                  <c:v>66.846000000000004</c:v>
                </c:pt>
                <c:pt idx="3">
                  <c:v>76.885999999999996</c:v>
                </c:pt>
                <c:pt idx="4">
                  <c:v>92.891999999999996</c:v>
                </c:pt>
                <c:pt idx="5">
                  <c:v>103.14400000000001</c:v>
                </c:pt>
                <c:pt idx="6">
                  <c:v>108.381</c:v>
                </c:pt>
                <c:pt idx="7">
                  <c:v>124.9</c:v>
                </c:pt>
                <c:pt idx="8">
                  <c:v>126.907</c:v>
                </c:pt>
                <c:pt idx="9">
                  <c:v>124.342</c:v>
                </c:pt>
                <c:pt idx="10">
                  <c:v>125.389</c:v>
                </c:pt>
                <c:pt idx="11">
                  <c:v>120.07</c:v>
                </c:pt>
              </c:numCache>
            </c:numRef>
          </c:val>
          <c:smooth val="0"/>
        </c:ser>
        <c:ser>
          <c:idx val="2"/>
          <c:order val="2"/>
          <c:tx>
            <c:strRef>
              <c:f>'Crec. Matrícula 1er año'!$B$21</c:f>
              <c:strCache>
                <c:ptCount val="1"/>
                <c:pt idx="0">
                  <c:v>Univ.</c:v>
                </c:pt>
              </c:strCache>
            </c:strRef>
          </c:tx>
          <c:marker>
            <c:symbol val="none"/>
          </c:marker>
          <c:dLbls>
            <c:dLbl>
              <c:idx val="11"/>
              <c:layout>
                <c:manualLayout>
                  <c:x val="-2.95748613678373E-2"/>
                  <c:y val="-3.8626609442060103E-2"/>
                </c:manualLayout>
              </c:layout>
              <c:showLegendKey val="0"/>
              <c:showVal val="1"/>
              <c:showCatName val="0"/>
              <c:showSerName val="0"/>
              <c:showPercent val="0"/>
              <c:showBubbleSize val="0"/>
            </c:dLbl>
            <c:txPr>
              <a:bodyPr/>
              <a:lstStyle/>
              <a:p>
                <a:pPr>
                  <a:defRPr b="1">
                    <a:solidFill>
                      <a:schemeClr val="tx1"/>
                    </a:solidFill>
                  </a:defRPr>
                </a:pPr>
                <a:endParaRPr lang="es-ES"/>
              </a:p>
            </c:txPr>
            <c:showLegendKey val="0"/>
            <c:showVal val="0"/>
            <c:showCatName val="0"/>
            <c:showSerName val="0"/>
            <c:showPercent val="0"/>
            <c:showBubbleSize val="0"/>
          </c:dLbls>
          <c:cat>
            <c:numRef>
              <c:f>'Crec. Matrícula 1er año'!$C$12:$N$12</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'Crec. Matrícula 1er año'!$C$21:$N$21</c:f>
              <c:numCache>
                <c:formatCode>0</c:formatCode>
                <c:ptCount val="12"/>
                <c:pt idx="0">
                  <c:v>127.849</c:v>
                </c:pt>
                <c:pt idx="1">
                  <c:v>129.792</c:v>
                </c:pt>
                <c:pt idx="2">
                  <c:v>130.86199999999999</c:v>
                </c:pt>
                <c:pt idx="3">
                  <c:v>141.58699999999999</c:v>
                </c:pt>
                <c:pt idx="4">
                  <c:v>152.518</c:v>
                </c:pt>
                <c:pt idx="5">
                  <c:v>158.36799999999999</c:v>
                </c:pt>
                <c:pt idx="6">
                  <c:v>154.923</c:v>
                </c:pt>
                <c:pt idx="7">
                  <c:v>153.06200000000001</c:v>
                </c:pt>
                <c:pt idx="8">
                  <c:v>149.50200000000001</c:v>
                </c:pt>
                <c:pt idx="9">
                  <c:v>153.69200000000001</c:v>
                </c:pt>
                <c:pt idx="10">
                  <c:v>162.18600000000001</c:v>
                </c:pt>
                <c:pt idx="11">
                  <c:v>165.303</c:v>
                </c:pt>
              </c:numCache>
            </c:numRef>
          </c:val>
          <c:smooth val="0"/>
        </c:ser>
        <c:dLbls>
          <c:showLegendKey val="0"/>
          <c:showVal val="0"/>
          <c:showCatName val="0"/>
          <c:showSerName val="0"/>
          <c:showPercent val="0"/>
          <c:showBubbleSize val="0"/>
        </c:dLbls>
        <c:marker val="1"/>
        <c:smooth val="0"/>
        <c:axId val="135495168"/>
        <c:axId val="139024576"/>
      </c:lineChart>
      <c:catAx>
        <c:axId val="135495168"/>
        <c:scaling>
          <c:orientation val="minMax"/>
        </c:scaling>
        <c:delete val="0"/>
        <c:axPos val="b"/>
        <c:numFmt formatCode="General" sourceLinked="1"/>
        <c:majorTickMark val="out"/>
        <c:minorTickMark val="none"/>
        <c:tickLblPos val="low"/>
        <c:txPr>
          <a:bodyPr/>
          <a:lstStyle/>
          <a:p>
            <a:pPr>
              <a:defRPr sz="1050">
                <a:latin typeface="Palatino Linotype"/>
                <a:cs typeface="Palatino Linotype"/>
              </a:defRPr>
            </a:pPr>
            <a:endParaRPr lang="es-ES"/>
          </a:p>
        </c:txPr>
        <c:crossAx val="139024576"/>
        <c:crosses val="autoZero"/>
        <c:auto val="1"/>
        <c:lblAlgn val="ctr"/>
        <c:lblOffset val="100"/>
        <c:noMultiLvlLbl val="0"/>
      </c:catAx>
      <c:valAx>
        <c:axId val="139024576"/>
        <c:scaling>
          <c:orientation val="minMax"/>
        </c:scaling>
        <c:delete val="0"/>
        <c:axPos val="l"/>
        <c:numFmt formatCode="0" sourceLinked="1"/>
        <c:majorTickMark val="out"/>
        <c:minorTickMark val="none"/>
        <c:tickLblPos val="nextTo"/>
        <c:txPr>
          <a:bodyPr/>
          <a:lstStyle/>
          <a:p>
            <a:pPr>
              <a:defRPr>
                <a:latin typeface="Palatino Linotype"/>
                <a:cs typeface="Palatino Linotype"/>
              </a:defRPr>
            </a:pPr>
            <a:endParaRPr lang="es-ES"/>
          </a:p>
        </c:txPr>
        <c:crossAx val="135495168"/>
        <c:crosses val="autoZero"/>
        <c:crossBetween val="between"/>
      </c:valAx>
      <c:valAx>
        <c:axId val="139025152"/>
        <c:scaling>
          <c:orientation val="minMax"/>
        </c:scaling>
        <c:delete val="0"/>
        <c:axPos val="r"/>
        <c:numFmt formatCode="0" sourceLinked="1"/>
        <c:majorTickMark val="out"/>
        <c:minorTickMark val="none"/>
        <c:tickLblPos val="nextTo"/>
        <c:txPr>
          <a:bodyPr/>
          <a:lstStyle/>
          <a:p>
            <a:pPr>
              <a:defRPr>
                <a:latin typeface="Palatino Linotype"/>
                <a:cs typeface="Palatino Linotype"/>
              </a:defRPr>
            </a:pPr>
            <a:endParaRPr lang="es-ES"/>
          </a:p>
        </c:txPr>
        <c:crossAx val="135945728"/>
        <c:crosses val="max"/>
        <c:crossBetween val="between"/>
      </c:valAx>
      <c:catAx>
        <c:axId val="135945728"/>
        <c:scaling>
          <c:orientation val="minMax"/>
        </c:scaling>
        <c:delete val="1"/>
        <c:axPos val="b"/>
        <c:numFmt formatCode="General" sourceLinked="1"/>
        <c:majorTickMark val="out"/>
        <c:minorTickMark val="none"/>
        <c:tickLblPos val="nextTo"/>
        <c:crossAx val="139025152"/>
        <c:crosses val="autoZero"/>
        <c:auto val="1"/>
        <c:lblAlgn val="ctr"/>
        <c:lblOffset val="100"/>
        <c:noMultiLvlLbl val="0"/>
      </c:catAx>
    </c:plotArea>
    <c:legend>
      <c:legendPos val="r"/>
      <c:layout>
        <c:manualLayout>
          <c:xMode val="edge"/>
          <c:yMode val="edge"/>
          <c:x val="0.69447019224429896"/>
          <c:y val="0.29398132248707998"/>
          <c:w val="0.28516320897769698"/>
          <c:h val="0.41203735502583999"/>
        </c:manualLayout>
      </c:layout>
      <c:overlay val="0"/>
      <c:txPr>
        <a:bodyPr/>
        <a:lstStyle/>
        <a:p>
          <a:pPr>
            <a:defRPr>
              <a:latin typeface="Palatino Linotype"/>
              <a:cs typeface="Palatino Linotype"/>
            </a:defRPr>
          </a:pPr>
          <a:endParaRPr lang="es-E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tx2"/>
            </a:solidFill>
          </c:spPr>
          <c:invertIfNegative val="0"/>
          <c:dLbls>
            <c:txPr>
              <a:bodyPr/>
              <a:lstStyle/>
              <a:p>
                <a:pPr>
                  <a:defRPr b="1">
                    <a:solidFill>
                      <a:schemeClr val="tx2"/>
                    </a:solidFill>
                    <a:latin typeface="Palatino Linotype"/>
                    <a:cs typeface="Palatino Linotype"/>
                  </a:defRPr>
                </a:pPr>
                <a:endParaRPr lang="es-ES"/>
              </a:p>
            </c:txPr>
            <c:showLegendKey val="0"/>
            <c:showVal val="1"/>
            <c:showCatName val="0"/>
            <c:showSerName val="0"/>
            <c:showPercent val="0"/>
            <c:showBubbleSize val="0"/>
            <c:showLeaderLines val="0"/>
          </c:dLbls>
          <c:cat>
            <c:strRef>
              <c:f>'Retención IES'!$A$12:$A$14</c:f>
              <c:strCache>
                <c:ptCount val="3"/>
                <c:pt idx="0">
                  <c:v>C.F.T</c:v>
                </c:pt>
                <c:pt idx="1">
                  <c:v>I.P</c:v>
                </c:pt>
                <c:pt idx="2">
                  <c:v>Univ.</c:v>
                </c:pt>
              </c:strCache>
            </c:strRef>
          </c:cat>
          <c:val>
            <c:numRef>
              <c:f>'Retención IES'!$B$12:$B$14</c:f>
              <c:numCache>
                <c:formatCode>0%</c:formatCode>
                <c:ptCount val="3"/>
                <c:pt idx="0">
                  <c:v>0.352961219069369</c:v>
                </c:pt>
                <c:pt idx="1">
                  <c:v>0.31527318323652698</c:v>
                </c:pt>
                <c:pt idx="2">
                  <c:v>0.24807610118934501</c:v>
                </c:pt>
              </c:numCache>
            </c:numRef>
          </c:val>
        </c:ser>
        <c:dLbls>
          <c:showLegendKey val="0"/>
          <c:showVal val="0"/>
          <c:showCatName val="0"/>
          <c:showSerName val="0"/>
          <c:showPercent val="0"/>
          <c:showBubbleSize val="0"/>
        </c:dLbls>
        <c:gapWidth val="150"/>
        <c:axId val="74719744"/>
        <c:axId val="283903104"/>
      </c:barChart>
      <c:catAx>
        <c:axId val="74719744"/>
        <c:scaling>
          <c:orientation val="minMax"/>
        </c:scaling>
        <c:delete val="0"/>
        <c:axPos val="b"/>
        <c:majorTickMark val="out"/>
        <c:minorTickMark val="none"/>
        <c:tickLblPos val="nextTo"/>
        <c:crossAx val="283903104"/>
        <c:crosses val="autoZero"/>
        <c:auto val="1"/>
        <c:lblAlgn val="ctr"/>
        <c:lblOffset val="100"/>
        <c:noMultiLvlLbl val="0"/>
      </c:catAx>
      <c:valAx>
        <c:axId val="283903104"/>
        <c:scaling>
          <c:orientation val="minMax"/>
        </c:scaling>
        <c:delete val="0"/>
        <c:axPos val="l"/>
        <c:numFmt formatCode="0%" sourceLinked="1"/>
        <c:majorTickMark val="out"/>
        <c:minorTickMark val="none"/>
        <c:tickLblPos val="nextTo"/>
        <c:txPr>
          <a:bodyPr/>
          <a:lstStyle/>
          <a:p>
            <a:pPr>
              <a:defRPr>
                <a:latin typeface="Palatino Linotype"/>
                <a:cs typeface="Palatino Linotype"/>
              </a:defRPr>
            </a:pPr>
            <a:endParaRPr lang="es-ES"/>
          </a:p>
        </c:txPr>
        <c:crossAx val="74719744"/>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Junio de 2018</PublishDate>
  <Abstract>El presente documento realiza un análisis económico del sistema de financiamiento a la educación superior, enfocándose en la nueva reforma propuesta por el Ejecutivo, que busca reemplazar los créditos existentes por un nuevo crédito contingente al ingreso. Así, la sección I hace una revisión del marco regulatorio actual y de la propuesta del gobierno: la sección II presenta la teoría económica respecto a los créditos contingentes al ingreso, así como evidencia empírica que la respalda. Por último, la sección III presenta las indicaciones finales.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415F49-D1DC-4942-84BB-C9655AD6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5899</Words>
  <Characters>32447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Financiamiento a la Educación Superior</vt:lpstr>
    </vt:vector>
  </TitlesOfParts>
  <Company/>
  <LinksUpToDate>false</LinksUpToDate>
  <CharactersWithSpaces>38270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Financiamiento a la Educación Superior</dc:title>
  <dc:creator>Carlos Muñoz Cárcamo – Congreso Nacional de Chile – Asesoría para Comité Político de Evópoli – Julio de 2018</dc:creator>
  <cp:lastModifiedBy>MAESTRO</cp:lastModifiedBy>
  <cp:revision>2</cp:revision>
  <cp:lastPrinted>2018-06-25T16:18:00Z</cp:lastPrinted>
  <dcterms:created xsi:type="dcterms:W3CDTF">2018-06-28T20:58:00Z</dcterms:created>
  <dcterms:modified xsi:type="dcterms:W3CDTF">2018-06-28T20:58:00Z</dcterms:modified>
</cp:coreProperties>
</file>