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D20" w:rsidRPr="000171DA" w:rsidRDefault="002A6D20" w:rsidP="002A6D20">
      <w:pPr>
        <w:spacing w:after="160" w:line="480" w:lineRule="auto"/>
        <w:ind w:left="567" w:right="567"/>
        <w:jc w:val="both"/>
        <w:rPr>
          <w:rFonts w:ascii="Arial" w:eastAsiaTheme="minorHAnsi" w:hAnsi="Arial" w:cs="Arial"/>
          <w:b/>
          <w:color w:val="auto"/>
          <w:sz w:val="24"/>
        </w:rPr>
      </w:pPr>
      <w:r w:rsidRPr="000171DA">
        <w:rPr>
          <w:rFonts w:ascii="Arial" w:hAnsi="Arial" w:cs="Arial"/>
          <w:b/>
          <w:sz w:val="24"/>
        </w:rPr>
        <w:t xml:space="preserve">PROYECTO DE LEY QUE MODIFICA EL ARTÍCULO 14 DE LA LEY N°19.925, </w:t>
      </w:r>
      <w:r w:rsidRPr="000171DA">
        <w:rPr>
          <w:rFonts w:ascii="Arial" w:eastAsiaTheme="minorHAnsi" w:hAnsi="Arial" w:cs="Arial"/>
          <w:b/>
          <w:color w:val="auto"/>
          <w:sz w:val="24"/>
        </w:rPr>
        <w:t>SOBRE EXPENDIO Y CONSUMO DE BEBIDAS ALCOHOLICAS</w:t>
      </w:r>
      <w:r>
        <w:rPr>
          <w:rFonts w:ascii="Arial" w:hAnsi="Arial" w:cs="Arial"/>
          <w:b/>
          <w:sz w:val="24"/>
        </w:rPr>
        <w:t>.</w:t>
      </w:r>
    </w:p>
    <w:p w:rsidR="002A6D20" w:rsidRDefault="002A6D20" w:rsidP="002A6D20">
      <w:pPr>
        <w:spacing w:line="480" w:lineRule="auto"/>
        <w:rPr>
          <w:rFonts w:ascii="Arial" w:hAnsi="Arial" w:cs="Arial"/>
          <w:sz w:val="24"/>
        </w:rPr>
      </w:pPr>
    </w:p>
    <w:p w:rsidR="002A6D20" w:rsidRPr="002A6D20" w:rsidRDefault="002A6D20" w:rsidP="002A6D20">
      <w:pPr>
        <w:spacing w:line="480" w:lineRule="auto"/>
        <w:jc w:val="both"/>
        <w:rPr>
          <w:rFonts w:ascii="Arial" w:hAnsi="Arial" w:cs="Arial"/>
          <w:b/>
          <w:sz w:val="24"/>
        </w:rPr>
      </w:pPr>
      <w:r w:rsidRPr="000171DA">
        <w:rPr>
          <w:rFonts w:ascii="Arial" w:hAnsi="Arial" w:cs="Arial"/>
          <w:b/>
          <w:sz w:val="24"/>
        </w:rPr>
        <w:t>Antecedentes</w:t>
      </w:r>
    </w:p>
    <w:p w:rsidR="002A6D20" w:rsidRDefault="002A6D20" w:rsidP="002A6D20">
      <w:pPr>
        <w:spacing w:line="480" w:lineRule="auto"/>
        <w:jc w:val="both"/>
        <w:rPr>
          <w:rFonts w:ascii="Arial" w:hAnsi="Arial" w:cs="Arial"/>
          <w:sz w:val="24"/>
        </w:rPr>
      </w:pPr>
      <w:r>
        <w:rPr>
          <w:rFonts w:ascii="Arial" w:hAnsi="Arial" w:cs="Arial"/>
          <w:sz w:val="24"/>
        </w:rPr>
        <w:tab/>
        <w:t>El actual artículo 14 de la ley N°19.925, de 19 de enero de 2004, sobre expendio y consumo de bebidas alcohólicas, señala que “</w:t>
      </w:r>
      <w:r w:rsidRPr="000171DA">
        <w:rPr>
          <w:rFonts w:ascii="Arial" w:hAnsi="Arial" w:cs="Arial"/>
          <w:sz w:val="24"/>
        </w:rPr>
        <w:t>Todos los establecimientos de expendio de bebidas alcohólicas, a excepción de hoteles y casas de pensión, deben estar absolutamente independientes de la casa habitación del comerciante o de cualquiera otra persona.</w:t>
      </w:r>
      <w:r>
        <w:rPr>
          <w:rFonts w:ascii="Arial" w:hAnsi="Arial" w:cs="Arial"/>
          <w:sz w:val="24"/>
        </w:rPr>
        <w:t>” Pues bien, esta norma tiene como antecedente el inciso primero del artículo 157 de la derogada ley N°17.105, o ley de alcoholes, que disponía que “</w:t>
      </w:r>
      <w:r w:rsidRPr="00E90BD2">
        <w:rPr>
          <w:rFonts w:ascii="Arial" w:hAnsi="Arial" w:cs="Arial"/>
          <w:sz w:val="24"/>
        </w:rPr>
        <w:t>Todos los establecimientos de expendio de bebidas alcohólicas, a excepción de hoteles y casas de pensión, deben estar completamente independientes de todo otro negocio de giro diverso y en distinto local. Deben estar, asimismo, absolutamente separados de la casa habitación del comerciante o de cualquiera otra persona</w:t>
      </w:r>
      <w:r>
        <w:rPr>
          <w:rFonts w:ascii="Arial" w:hAnsi="Arial" w:cs="Arial"/>
          <w:sz w:val="24"/>
        </w:rPr>
        <w:t>.”</w:t>
      </w:r>
    </w:p>
    <w:p w:rsidR="002A6D20" w:rsidRDefault="002A6D20" w:rsidP="002A6D20">
      <w:pPr>
        <w:spacing w:line="480" w:lineRule="auto"/>
        <w:jc w:val="both"/>
        <w:rPr>
          <w:rFonts w:ascii="Arial" w:hAnsi="Arial" w:cs="Arial"/>
          <w:sz w:val="24"/>
        </w:rPr>
      </w:pPr>
      <w:r>
        <w:rPr>
          <w:rFonts w:ascii="Arial" w:hAnsi="Arial" w:cs="Arial"/>
          <w:sz w:val="24"/>
        </w:rPr>
        <w:t xml:space="preserve"> </w:t>
      </w:r>
      <w:r>
        <w:rPr>
          <w:rFonts w:ascii="Arial" w:hAnsi="Arial" w:cs="Arial"/>
          <w:sz w:val="24"/>
        </w:rPr>
        <w:tab/>
        <w:t>Como se puede extraer de la historia fidedigna de la ley N°19.925</w:t>
      </w:r>
      <w:r>
        <w:rPr>
          <w:rStyle w:val="Refdenotaalpie"/>
          <w:rFonts w:ascii="Arial" w:hAnsi="Arial" w:cs="Arial"/>
          <w:sz w:val="24"/>
        </w:rPr>
        <w:footnoteReference w:id="1"/>
      </w:r>
      <w:r>
        <w:rPr>
          <w:rFonts w:ascii="Arial" w:hAnsi="Arial" w:cs="Arial"/>
          <w:sz w:val="24"/>
        </w:rPr>
        <w:t xml:space="preserve">, se </w:t>
      </w:r>
      <w:r w:rsidRPr="00726F1F">
        <w:rPr>
          <w:rFonts w:ascii="Arial" w:hAnsi="Arial" w:cs="Arial"/>
          <w:sz w:val="24"/>
        </w:rPr>
        <w:t>estimó preferible conservar el primer inciso de</w:t>
      </w:r>
      <w:r>
        <w:rPr>
          <w:rFonts w:ascii="Arial" w:hAnsi="Arial" w:cs="Arial"/>
          <w:sz w:val="24"/>
        </w:rPr>
        <w:t>l artículo 157</w:t>
      </w:r>
      <w:r w:rsidRPr="00726F1F">
        <w:rPr>
          <w:rFonts w:ascii="Arial" w:hAnsi="Arial" w:cs="Arial"/>
          <w:sz w:val="24"/>
        </w:rPr>
        <w:t xml:space="preserve">, porque </w:t>
      </w:r>
      <w:r>
        <w:rPr>
          <w:rFonts w:ascii="Arial" w:hAnsi="Arial" w:cs="Arial"/>
          <w:sz w:val="24"/>
        </w:rPr>
        <w:t>se consideraba</w:t>
      </w:r>
      <w:r w:rsidRPr="00726F1F">
        <w:rPr>
          <w:rFonts w:ascii="Arial" w:hAnsi="Arial" w:cs="Arial"/>
          <w:sz w:val="24"/>
        </w:rPr>
        <w:t xml:space="preserve"> más riguroso. En el mismo predicamento,</w:t>
      </w:r>
      <w:r>
        <w:rPr>
          <w:rFonts w:ascii="Arial" w:hAnsi="Arial" w:cs="Arial"/>
          <w:sz w:val="24"/>
        </w:rPr>
        <w:t xml:space="preserve"> se </w:t>
      </w:r>
      <w:r w:rsidRPr="00726F1F">
        <w:rPr>
          <w:rFonts w:ascii="Arial" w:hAnsi="Arial" w:cs="Arial"/>
          <w:sz w:val="24"/>
        </w:rPr>
        <w:t xml:space="preserve">resolvió suprimir </w:t>
      </w:r>
      <w:r>
        <w:rPr>
          <w:rFonts w:ascii="Arial" w:hAnsi="Arial" w:cs="Arial"/>
          <w:sz w:val="24"/>
        </w:rPr>
        <w:t>su</w:t>
      </w:r>
      <w:r w:rsidRPr="00726F1F">
        <w:rPr>
          <w:rFonts w:ascii="Arial" w:hAnsi="Arial" w:cs="Arial"/>
          <w:sz w:val="24"/>
        </w:rPr>
        <w:t xml:space="preserve"> inciso final porque</w:t>
      </w:r>
      <w:r>
        <w:rPr>
          <w:rFonts w:ascii="Arial" w:hAnsi="Arial" w:cs="Arial"/>
          <w:sz w:val="24"/>
        </w:rPr>
        <w:t xml:space="preserve">, a juicio de los legisladores de la época, </w:t>
      </w:r>
      <w:r w:rsidRPr="00726F1F">
        <w:rPr>
          <w:rFonts w:ascii="Arial" w:hAnsi="Arial" w:cs="Arial"/>
          <w:sz w:val="24"/>
        </w:rPr>
        <w:t>conspira</w:t>
      </w:r>
      <w:r>
        <w:rPr>
          <w:rFonts w:ascii="Arial" w:hAnsi="Arial" w:cs="Arial"/>
          <w:sz w:val="24"/>
        </w:rPr>
        <w:t>ba</w:t>
      </w:r>
      <w:r w:rsidRPr="00726F1F">
        <w:rPr>
          <w:rFonts w:ascii="Arial" w:hAnsi="Arial" w:cs="Arial"/>
          <w:sz w:val="24"/>
        </w:rPr>
        <w:t xml:space="preserve"> contra los </w:t>
      </w:r>
      <w:r w:rsidRPr="00726F1F">
        <w:rPr>
          <w:rFonts w:ascii="Arial" w:hAnsi="Arial" w:cs="Arial"/>
          <w:sz w:val="24"/>
        </w:rPr>
        <w:lastRenderedPageBreak/>
        <w:t>fines que pers</w:t>
      </w:r>
      <w:r>
        <w:rPr>
          <w:rFonts w:ascii="Arial" w:hAnsi="Arial" w:cs="Arial"/>
          <w:sz w:val="24"/>
        </w:rPr>
        <w:t>eguía el proyecto de ley que dio origen a la ley N°19.925</w:t>
      </w:r>
      <w:r w:rsidRPr="00726F1F">
        <w:rPr>
          <w:rFonts w:ascii="Arial" w:hAnsi="Arial" w:cs="Arial"/>
          <w:sz w:val="24"/>
        </w:rPr>
        <w:t>, en cuanto</w:t>
      </w:r>
      <w:r>
        <w:rPr>
          <w:rFonts w:ascii="Arial" w:hAnsi="Arial" w:cs="Arial"/>
          <w:sz w:val="24"/>
        </w:rPr>
        <w:t xml:space="preserve"> </w:t>
      </w:r>
      <w:r w:rsidRPr="00726F1F">
        <w:rPr>
          <w:rFonts w:ascii="Arial" w:hAnsi="Arial" w:cs="Arial"/>
          <w:sz w:val="24"/>
        </w:rPr>
        <w:t>introdu</w:t>
      </w:r>
      <w:r>
        <w:rPr>
          <w:rFonts w:ascii="Arial" w:hAnsi="Arial" w:cs="Arial"/>
          <w:sz w:val="24"/>
        </w:rPr>
        <w:t>cía</w:t>
      </w:r>
      <w:r w:rsidRPr="00726F1F">
        <w:rPr>
          <w:rFonts w:ascii="Arial" w:hAnsi="Arial" w:cs="Arial"/>
          <w:sz w:val="24"/>
        </w:rPr>
        <w:t xml:space="preserve"> un factor de ambigüedad que </w:t>
      </w:r>
      <w:r>
        <w:rPr>
          <w:rFonts w:ascii="Arial" w:hAnsi="Arial" w:cs="Arial"/>
          <w:sz w:val="24"/>
        </w:rPr>
        <w:t>podía</w:t>
      </w:r>
      <w:r w:rsidRPr="00726F1F">
        <w:rPr>
          <w:rFonts w:ascii="Arial" w:hAnsi="Arial" w:cs="Arial"/>
          <w:sz w:val="24"/>
        </w:rPr>
        <w:t xml:space="preserve"> hacer menos eficiente el</w:t>
      </w:r>
      <w:r>
        <w:rPr>
          <w:rFonts w:ascii="Arial" w:hAnsi="Arial" w:cs="Arial"/>
          <w:sz w:val="24"/>
        </w:rPr>
        <w:t xml:space="preserve"> </w:t>
      </w:r>
      <w:r w:rsidRPr="00726F1F">
        <w:rPr>
          <w:rFonts w:ascii="Arial" w:hAnsi="Arial" w:cs="Arial"/>
          <w:sz w:val="24"/>
        </w:rPr>
        <w:t xml:space="preserve">combate contra el clandestinaje. </w:t>
      </w:r>
      <w:r>
        <w:rPr>
          <w:rFonts w:ascii="Arial" w:hAnsi="Arial" w:cs="Arial"/>
          <w:sz w:val="24"/>
        </w:rPr>
        <w:t xml:space="preserve">Por lo tanto, el objeto de la normativa en referencia es evitar la venta el mercado negro de bebidas alcohólicas o la venta clandestina del mismo. </w:t>
      </w:r>
    </w:p>
    <w:p w:rsidR="002A6D20" w:rsidRDefault="002A6D20" w:rsidP="002A6D20">
      <w:pPr>
        <w:spacing w:line="480" w:lineRule="auto"/>
        <w:jc w:val="both"/>
        <w:rPr>
          <w:rFonts w:ascii="Arial" w:hAnsi="Arial" w:cs="Arial"/>
          <w:sz w:val="24"/>
        </w:rPr>
      </w:pPr>
      <w:r>
        <w:rPr>
          <w:rFonts w:ascii="Arial" w:hAnsi="Arial" w:cs="Arial"/>
          <w:sz w:val="24"/>
        </w:rPr>
        <w:tab/>
        <w:t xml:space="preserve">Ahora bien, del análisis de la referida norma, resulta evidente su carácter de prohibición absoluta. Por lo tanto, cualquier establecimiento que expenda bebidas alcohólicas (salvo las dos excepciones que la misma norma contempla) debe estar absolutamente independiente de la casa habitación del comerciante o de cualquiera otra persona. </w:t>
      </w:r>
    </w:p>
    <w:p w:rsidR="002A6D20" w:rsidRDefault="002A6D20" w:rsidP="002A6D20">
      <w:pPr>
        <w:spacing w:line="480" w:lineRule="auto"/>
        <w:jc w:val="both"/>
        <w:rPr>
          <w:rFonts w:ascii="Arial" w:hAnsi="Arial" w:cs="Arial"/>
          <w:sz w:val="24"/>
        </w:rPr>
      </w:pPr>
      <w:r>
        <w:rPr>
          <w:rFonts w:ascii="Arial" w:hAnsi="Arial" w:cs="Arial"/>
          <w:sz w:val="24"/>
        </w:rPr>
        <w:tab/>
        <w:t xml:space="preserve">Sin perjuicio de la evidente necesidad de mecanismos legales que eviten el fomento de actividades ilícitas, como el clandestinaje, es que la aplicación de esta norma ha encontrado algunas dificultades prácticas, especialmente, con aquellos dueños de botillerías, que tienen su establecimiento de expendio de bebidas alcohólicas en una construcción adherida o cercana a su casa habitación, y que son las principales víctimas de delitos contra la propiedad, circunstancias que los han llevado a “enrejar” sus locales, convirtiéndolos en verdaderos bunker </w:t>
      </w:r>
      <w:proofErr w:type="spellStart"/>
      <w:r>
        <w:rPr>
          <w:rFonts w:ascii="Arial" w:hAnsi="Arial" w:cs="Arial"/>
          <w:sz w:val="24"/>
        </w:rPr>
        <w:t>antirobos</w:t>
      </w:r>
      <w:proofErr w:type="spellEnd"/>
      <w:r>
        <w:rPr>
          <w:rFonts w:ascii="Arial" w:hAnsi="Arial" w:cs="Arial"/>
          <w:sz w:val="24"/>
        </w:rPr>
        <w:t xml:space="preserve">.  </w:t>
      </w:r>
    </w:p>
    <w:p w:rsidR="002A6D20" w:rsidRDefault="002A6D20" w:rsidP="002A6D20">
      <w:pPr>
        <w:spacing w:line="480" w:lineRule="auto"/>
        <w:jc w:val="both"/>
        <w:rPr>
          <w:rFonts w:ascii="Arial" w:hAnsi="Arial" w:cs="Arial"/>
          <w:sz w:val="24"/>
        </w:rPr>
      </w:pPr>
      <w:r>
        <w:rPr>
          <w:rFonts w:ascii="Arial" w:hAnsi="Arial" w:cs="Arial"/>
          <w:sz w:val="24"/>
        </w:rPr>
        <w:tab/>
        <w:t xml:space="preserve">Pues bien, como consecuencia de la aplicación literal del artículo 14 de la ley N°19.925, los vendedores y/o propietarios de dichos locales, al terminar su jornada de atención deben salir de sus establecimientos con las ganancias diarias e ingresar a su casa habitación, exponiéndose a ser víctimas de cualquier delito. Así, por una parte, la norma cumpliría con su idea matriz, evitar el </w:t>
      </w:r>
      <w:r>
        <w:rPr>
          <w:rFonts w:ascii="Arial" w:hAnsi="Arial" w:cs="Arial"/>
          <w:sz w:val="24"/>
        </w:rPr>
        <w:lastRenderedPageBreak/>
        <w:t xml:space="preserve">clandestinaje, pero, al mismo tiempo, posibilita o expone a los dueños de botillerías a ser </w:t>
      </w:r>
      <w:r w:rsidR="009D5725">
        <w:rPr>
          <w:rFonts w:ascii="Arial" w:hAnsi="Arial" w:cs="Arial"/>
          <w:sz w:val="24"/>
        </w:rPr>
        <w:t>víctimas</w:t>
      </w:r>
      <w:r>
        <w:rPr>
          <w:rFonts w:ascii="Arial" w:hAnsi="Arial" w:cs="Arial"/>
          <w:sz w:val="24"/>
        </w:rPr>
        <w:t xml:space="preserve"> de otro tipo de ilícitos, que incluso pueden terminar con la muerte. </w:t>
      </w:r>
    </w:p>
    <w:p w:rsidR="002A6D20" w:rsidRDefault="002A6D20" w:rsidP="002A6D20">
      <w:pPr>
        <w:spacing w:line="480" w:lineRule="auto"/>
        <w:jc w:val="both"/>
        <w:rPr>
          <w:rFonts w:ascii="Arial" w:hAnsi="Arial" w:cs="Arial"/>
          <w:sz w:val="24"/>
        </w:rPr>
      </w:pPr>
      <w:r>
        <w:rPr>
          <w:rFonts w:ascii="Arial" w:hAnsi="Arial" w:cs="Arial"/>
          <w:sz w:val="24"/>
        </w:rPr>
        <w:tab/>
        <w:t xml:space="preserve">Atendido lo anteriormente expuesto, es que el presente proyecto de ley busca </w:t>
      </w:r>
      <w:r w:rsidR="009D5725">
        <w:rPr>
          <w:rFonts w:ascii="Arial" w:hAnsi="Arial" w:cs="Arial"/>
          <w:sz w:val="24"/>
        </w:rPr>
        <w:t xml:space="preserve">derogar la norma contenida en el </w:t>
      </w:r>
      <w:r>
        <w:rPr>
          <w:rFonts w:ascii="Arial" w:hAnsi="Arial" w:cs="Arial"/>
          <w:sz w:val="24"/>
        </w:rPr>
        <w:t>artículo 14 de la ley N°19.925</w:t>
      </w:r>
      <w:r w:rsidR="009D5725">
        <w:rPr>
          <w:rFonts w:ascii="Arial" w:hAnsi="Arial" w:cs="Arial"/>
          <w:sz w:val="24"/>
        </w:rPr>
        <w:t>.</w:t>
      </w:r>
    </w:p>
    <w:p w:rsidR="009D5725" w:rsidRDefault="009D5725" w:rsidP="002A6D20">
      <w:pPr>
        <w:spacing w:line="480" w:lineRule="auto"/>
        <w:jc w:val="both"/>
        <w:rPr>
          <w:rFonts w:ascii="Arial" w:hAnsi="Arial" w:cs="Arial"/>
          <w:sz w:val="24"/>
        </w:rPr>
      </w:pPr>
      <w:bookmarkStart w:id="0" w:name="_GoBack"/>
      <w:bookmarkEnd w:id="0"/>
    </w:p>
    <w:p w:rsidR="002A6D20" w:rsidRDefault="002A6D20" w:rsidP="002A6D20">
      <w:pPr>
        <w:spacing w:line="480" w:lineRule="auto"/>
        <w:ind w:firstLine="708"/>
        <w:jc w:val="both"/>
        <w:rPr>
          <w:rFonts w:ascii="Arial" w:eastAsia="Verdana" w:hAnsi="Arial" w:cs="Arial"/>
          <w:color w:val="000000"/>
          <w:spacing w:val="-5"/>
          <w:sz w:val="24"/>
          <w:szCs w:val="24"/>
          <w:lang w:val="es-ES"/>
        </w:rPr>
      </w:pPr>
      <w:r w:rsidRPr="00D46AC0">
        <w:rPr>
          <w:rFonts w:ascii="Arial" w:eastAsia="Verdana" w:hAnsi="Arial" w:cs="Arial"/>
          <w:color w:val="000000"/>
          <w:spacing w:val="-5"/>
          <w:sz w:val="24"/>
          <w:szCs w:val="24"/>
          <w:lang w:val="es-ES"/>
        </w:rPr>
        <w:t>Por esas razones quienes suscribimos venimos en proponer el siguiente</w:t>
      </w:r>
      <w:r>
        <w:rPr>
          <w:rFonts w:ascii="Arial" w:eastAsia="Verdana" w:hAnsi="Arial" w:cs="Arial"/>
          <w:color w:val="000000"/>
          <w:spacing w:val="-5"/>
          <w:sz w:val="24"/>
          <w:szCs w:val="24"/>
          <w:lang w:val="es-ES"/>
        </w:rPr>
        <w:t>:</w:t>
      </w:r>
    </w:p>
    <w:p w:rsidR="002A6D20" w:rsidRDefault="002A6D20" w:rsidP="002A6D20">
      <w:pPr>
        <w:spacing w:line="480" w:lineRule="auto"/>
        <w:ind w:firstLine="708"/>
        <w:jc w:val="both"/>
        <w:rPr>
          <w:rFonts w:ascii="Arial" w:eastAsia="Verdana" w:hAnsi="Arial" w:cs="Arial"/>
          <w:color w:val="000000"/>
          <w:spacing w:val="-5"/>
          <w:sz w:val="24"/>
          <w:szCs w:val="24"/>
          <w:lang w:val="es-ES"/>
        </w:rPr>
      </w:pPr>
    </w:p>
    <w:p w:rsidR="002A6D20" w:rsidRPr="002A6D20" w:rsidRDefault="002A6D20" w:rsidP="009D5725">
      <w:pPr>
        <w:spacing w:line="480" w:lineRule="auto"/>
        <w:ind w:firstLine="708"/>
        <w:jc w:val="center"/>
        <w:rPr>
          <w:rFonts w:ascii="Arial" w:hAnsi="Arial" w:cs="Arial"/>
          <w:b/>
          <w:sz w:val="24"/>
        </w:rPr>
      </w:pPr>
      <w:r w:rsidRPr="00562704">
        <w:rPr>
          <w:rFonts w:ascii="Arial" w:hAnsi="Arial" w:cs="Arial"/>
          <w:b/>
          <w:sz w:val="24"/>
        </w:rPr>
        <w:t>PROYECTO DE LEY</w:t>
      </w:r>
    </w:p>
    <w:p w:rsidR="002A6D20" w:rsidRDefault="002A6D20" w:rsidP="002A6D20">
      <w:pPr>
        <w:spacing w:line="480" w:lineRule="auto"/>
        <w:jc w:val="both"/>
        <w:rPr>
          <w:rFonts w:ascii="Arial" w:hAnsi="Arial" w:cs="Arial"/>
          <w:sz w:val="24"/>
        </w:rPr>
      </w:pPr>
      <w:r w:rsidRPr="00A315E8">
        <w:rPr>
          <w:rFonts w:ascii="Arial" w:hAnsi="Arial" w:cs="Arial"/>
          <w:b/>
          <w:sz w:val="24"/>
        </w:rPr>
        <w:t xml:space="preserve">Artículo único. </w:t>
      </w:r>
      <w:r>
        <w:rPr>
          <w:rFonts w:ascii="Arial" w:hAnsi="Arial" w:cs="Arial"/>
          <w:sz w:val="24"/>
        </w:rPr>
        <w:t xml:space="preserve">– </w:t>
      </w:r>
      <w:proofErr w:type="gramStart"/>
      <w:r w:rsidR="009D5725">
        <w:rPr>
          <w:rFonts w:ascii="Arial" w:hAnsi="Arial" w:cs="Arial"/>
          <w:sz w:val="24"/>
        </w:rPr>
        <w:t xml:space="preserve">Deróguese </w:t>
      </w:r>
      <w:r>
        <w:rPr>
          <w:rFonts w:ascii="Arial" w:hAnsi="Arial" w:cs="Arial"/>
          <w:sz w:val="24"/>
        </w:rPr>
        <w:t xml:space="preserve"> el</w:t>
      </w:r>
      <w:proofErr w:type="gramEnd"/>
      <w:r>
        <w:rPr>
          <w:rFonts w:ascii="Arial" w:hAnsi="Arial" w:cs="Arial"/>
          <w:sz w:val="24"/>
        </w:rPr>
        <w:t xml:space="preserve"> artículo 14 de la ley N°19.925, de 19 de enero de 2004, sobre expendio y consumo de bebidas alcohólicas</w:t>
      </w:r>
      <w:r w:rsidR="009D5725">
        <w:rPr>
          <w:rFonts w:ascii="Arial" w:hAnsi="Arial" w:cs="Arial"/>
          <w:sz w:val="24"/>
        </w:rPr>
        <w:t>.</w:t>
      </w:r>
    </w:p>
    <w:p w:rsidR="002A6D20" w:rsidRDefault="002A6D20" w:rsidP="002A6D20">
      <w:pPr>
        <w:spacing w:line="480" w:lineRule="auto"/>
        <w:jc w:val="both"/>
        <w:rPr>
          <w:rFonts w:ascii="Arial" w:hAnsi="Arial" w:cs="Arial"/>
          <w:sz w:val="24"/>
        </w:rPr>
      </w:pPr>
    </w:p>
    <w:p w:rsidR="009D5725" w:rsidRDefault="009D5725" w:rsidP="002A6D20">
      <w:pPr>
        <w:spacing w:line="480" w:lineRule="auto"/>
        <w:jc w:val="both"/>
        <w:rPr>
          <w:rFonts w:ascii="Arial" w:hAnsi="Arial" w:cs="Arial"/>
          <w:sz w:val="24"/>
        </w:rPr>
      </w:pPr>
    </w:p>
    <w:p w:rsidR="002A6D20" w:rsidRDefault="002A6D20" w:rsidP="002A6D20">
      <w:pPr>
        <w:spacing w:line="480" w:lineRule="auto"/>
        <w:jc w:val="both"/>
        <w:rPr>
          <w:rFonts w:ascii="Arial" w:hAnsi="Arial" w:cs="Arial"/>
          <w:sz w:val="24"/>
        </w:rPr>
      </w:pPr>
    </w:p>
    <w:p w:rsidR="002A6D20" w:rsidRPr="002A6D20" w:rsidRDefault="002A6D20" w:rsidP="009D5725">
      <w:pPr>
        <w:spacing w:line="360" w:lineRule="auto"/>
        <w:jc w:val="center"/>
        <w:rPr>
          <w:rFonts w:ascii="Arial" w:hAnsi="Arial" w:cs="Arial"/>
          <w:b/>
          <w:sz w:val="24"/>
        </w:rPr>
      </w:pPr>
      <w:r w:rsidRPr="002A6D20">
        <w:rPr>
          <w:rFonts w:ascii="Arial" w:hAnsi="Arial" w:cs="Arial"/>
          <w:b/>
          <w:sz w:val="24"/>
        </w:rPr>
        <w:t>ALEJANDRO NAVARRO BRIAN.</w:t>
      </w:r>
    </w:p>
    <w:p w:rsidR="002A6D20" w:rsidRPr="002A6D20" w:rsidRDefault="002A6D20" w:rsidP="009D5725">
      <w:pPr>
        <w:spacing w:line="360" w:lineRule="auto"/>
        <w:jc w:val="center"/>
        <w:rPr>
          <w:rFonts w:ascii="Arial" w:hAnsi="Arial" w:cs="Arial"/>
          <w:b/>
          <w:sz w:val="24"/>
        </w:rPr>
      </w:pPr>
      <w:r w:rsidRPr="002A6D20">
        <w:rPr>
          <w:rFonts w:ascii="Arial" w:hAnsi="Arial" w:cs="Arial"/>
          <w:b/>
          <w:sz w:val="24"/>
        </w:rPr>
        <w:t>SENADOR</w:t>
      </w:r>
    </w:p>
    <w:p w:rsidR="002A6D20" w:rsidRPr="000171DA" w:rsidRDefault="002A6D20" w:rsidP="002A6D20">
      <w:pPr>
        <w:spacing w:line="480" w:lineRule="auto"/>
        <w:jc w:val="both"/>
        <w:rPr>
          <w:rFonts w:ascii="Arial" w:hAnsi="Arial" w:cs="Arial"/>
          <w:sz w:val="24"/>
        </w:rPr>
      </w:pPr>
    </w:p>
    <w:p w:rsidR="002B3919" w:rsidRPr="00636FA2" w:rsidRDefault="002B3919" w:rsidP="002A6D20">
      <w:pPr>
        <w:spacing w:after="0" w:line="480" w:lineRule="auto"/>
        <w:rPr>
          <w:rFonts w:ascii="Arial" w:hAnsi="Arial" w:cs="Arial"/>
          <w:b/>
          <w:sz w:val="24"/>
          <w:szCs w:val="24"/>
        </w:rPr>
      </w:pPr>
    </w:p>
    <w:sectPr w:rsidR="002B3919" w:rsidRPr="00636FA2" w:rsidSect="002B3919">
      <w:headerReference w:type="default" r:id="rId7"/>
      <w:footerReference w:type="default" r:id="rId8"/>
      <w:pgSz w:w="11906" w:h="16838" w:code="9"/>
      <w:pgMar w:top="1985" w:right="1701" w:bottom="1701" w:left="1701" w:header="567" w:footer="69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986" w:rsidRDefault="002D4986">
      <w:pPr>
        <w:spacing w:after="0" w:line="240" w:lineRule="auto"/>
      </w:pPr>
      <w:r>
        <w:separator/>
      </w:r>
    </w:p>
  </w:endnote>
  <w:endnote w:type="continuationSeparator" w:id="0">
    <w:p w:rsidR="002D4986" w:rsidRDefault="002D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A95" w:rsidRDefault="004B71BE">
    <w:pPr>
      <w:pStyle w:val="Piedepgina"/>
    </w:pPr>
    <w:r>
      <w:rPr>
        <w:noProof/>
      </w:rPr>
      <w:drawing>
        <wp:anchor distT="0" distB="0" distL="114300" distR="114300" simplePos="0" relativeHeight="3" behindDoc="1" locked="0" layoutInCell="1" allowOverlap="1">
          <wp:simplePos x="0" y="0"/>
          <wp:positionH relativeFrom="column">
            <wp:posOffset>-819785</wp:posOffset>
          </wp:positionH>
          <wp:positionV relativeFrom="paragraph">
            <wp:posOffset>-408305</wp:posOffset>
          </wp:positionV>
          <wp:extent cx="7710805" cy="901065"/>
          <wp:effectExtent l="0" t="0" r="0" b="0"/>
          <wp:wrapNone/>
          <wp:docPr id="2" name="Imagen 60" descr="C:\Users\Eduardo\AppData\Local\Microsoft\Windows\INetCache\Content.Word\fondo_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0" descr="C:\Users\Eduardo\AppData\Local\Microsoft\Windows\INetCache\Content.Word\fondo_pie.jpg"/>
                  <pic:cNvPicPr>
                    <a:picLocks noChangeAspect="1" noChangeArrowheads="1"/>
                  </pic:cNvPicPr>
                </pic:nvPicPr>
                <pic:blipFill>
                  <a:blip r:embed="rId1"/>
                  <a:stretch>
                    <a:fillRect/>
                  </a:stretch>
                </pic:blipFill>
                <pic:spPr bwMode="auto">
                  <a:xfrm>
                    <a:off x="0" y="0"/>
                    <a:ext cx="7710805" cy="90106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986" w:rsidRDefault="002D4986">
      <w:pPr>
        <w:spacing w:after="0" w:line="240" w:lineRule="auto"/>
      </w:pPr>
      <w:r>
        <w:separator/>
      </w:r>
    </w:p>
  </w:footnote>
  <w:footnote w:type="continuationSeparator" w:id="0">
    <w:p w:rsidR="002D4986" w:rsidRDefault="002D4986">
      <w:pPr>
        <w:spacing w:after="0" w:line="240" w:lineRule="auto"/>
      </w:pPr>
      <w:r>
        <w:continuationSeparator/>
      </w:r>
    </w:p>
  </w:footnote>
  <w:footnote w:id="1">
    <w:p w:rsidR="002A6D20" w:rsidRDefault="002A6D20" w:rsidP="002A6D20">
      <w:pPr>
        <w:pStyle w:val="Textonotapie"/>
      </w:pPr>
      <w:r>
        <w:rPr>
          <w:rStyle w:val="Refdenotaalpie"/>
        </w:rPr>
        <w:footnoteRef/>
      </w:r>
      <w:r>
        <w:t xml:space="preserve"> Historia de la ley N°19.925, </w:t>
      </w:r>
      <w:r w:rsidRPr="00726F1F">
        <w:t>sobre expendio y consumo de bebidas alcohólicas</w:t>
      </w:r>
      <w:r>
        <w:t xml:space="preserve">. Biblioteca del Congreso Nacional. Página 502. Texto </w:t>
      </w:r>
      <w:proofErr w:type="spellStart"/>
      <w:r>
        <w:t>integro</w:t>
      </w:r>
      <w:proofErr w:type="spellEnd"/>
      <w:r>
        <w:t xml:space="preserve"> disponible en: </w:t>
      </w:r>
      <w:hyperlink r:id="rId1" w:history="1">
        <w:r w:rsidRPr="004A0159">
          <w:rPr>
            <w:rStyle w:val="Hipervnculo"/>
          </w:rPr>
          <w:t>https://www.bcn.cl/historiadelaley/nc/historia-de-la-ley/5825/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A95" w:rsidRDefault="004B71BE">
    <w:pPr>
      <w:pStyle w:val="Encabezamiento"/>
    </w:pPr>
    <w:r>
      <w:rPr>
        <w:noProof/>
      </w:rPr>
      <w:drawing>
        <wp:anchor distT="0" distB="0" distL="0" distR="114300" simplePos="0" relativeHeight="5" behindDoc="1" locked="0" layoutInCell="1" allowOverlap="1">
          <wp:simplePos x="0" y="0"/>
          <wp:positionH relativeFrom="margin">
            <wp:align>left</wp:align>
          </wp:positionH>
          <wp:positionV relativeFrom="paragraph">
            <wp:posOffset>-5080</wp:posOffset>
          </wp:positionV>
          <wp:extent cx="1064260" cy="737235"/>
          <wp:effectExtent l="0" t="0" r="0" b="0"/>
          <wp:wrapNone/>
          <wp:docPr id="1" name="Imagen 59" descr="C:\Users\Eduardo\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9" descr="C:\Users\Eduardo\AppData\Local\Microsoft\Windows\INetCache\Content.Word\logo.jpg"/>
                  <pic:cNvPicPr>
                    <a:picLocks noChangeAspect="1" noChangeArrowheads="1"/>
                  </pic:cNvPicPr>
                </pic:nvPicPr>
                <pic:blipFill>
                  <a:blip r:embed="rId1"/>
                  <a:stretch>
                    <a:fillRect/>
                  </a:stretch>
                </pic:blipFill>
                <pic:spPr bwMode="auto">
                  <a:xfrm>
                    <a:off x="0" y="0"/>
                    <a:ext cx="1064260" cy="7372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33F"/>
    <w:multiLevelType w:val="hybridMultilevel"/>
    <w:tmpl w:val="F79EFE86"/>
    <w:lvl w:ilvl="0" w:tplc="E1E8009A">
      <w:start w:val="1"/>
      <w:numFmt w:val="lowerLetter"/>
      <w:lvlText w:val="%1)"/>
      <w:lvlJc w:val="left"/>
      <w:pPr>
        <w:ind w:left="360" w:hanging="360"/>
      </w:pPr>
      <w:rPr>
        <w:rFonts w:ascii="Cambria" w:eastAsiaTheme="minorHAnsi" w:hAnsi="Cambria" w:cstheme="minorBidi"/>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35302C8"/>
    <w:multiLevelType w:val="hybridMultilevel"/>
    <w:tmpl w:val="4244A9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E687A92"/>
    <w:multiLevelType w:val="hybridMultilevel"/>
    <w:tmpl w:val="DB1AF7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37BB3291"/>
    <w:multiLevelType w:val="hybridMultilevel"/>
    <w:tmpl w:val="3D484FB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3B3C1A00"/>
    <w:multiLevelType w:val="multilevel"/>
    <w:tmpl w:val="44B2B9A0"/>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b/>
        <w:sz w:val="24"/>
      </w:rPr>
    </w:lvl>
    <w:lvl w:ilvl="2">
      <w:start w:val="1"/>
      <w:numFmt w:val="bullet"/>
      <w:lvlText w:val="▪"/>
      <w:lvlJc w:val="left"/>
      <w:pPr>
        <w:tabs>
          <w:tab w:val="num" w:pos="1440"/>
        </w:tabs>
        <w:ind w:left="1440" w:hanging="360"/>
      </w:pPr>
      <w:rPr>
        <w:rFonts w:ascii="OpenSymbol" w:hAnsi="OpenSymbol" w:cs="OpenSymbol" w:hint="default"/>
        <w:b/>
        <w:sz w:val="24"/>
      </w:rPr>
    </w:lvl>
    <w:lvl w:ilvl="3">
      <w:start w:val="1"/>
      <w:numFmt w:val="bullet"/>
      <w:lvlText w:val=""/>
      <w:lvlJc w:val="left"/>
      <w:pPr>
        <w:tabs>
          <w:tab w:val="num" w:pos="1800"/>
        </w:tabs>
        <w:ind w:left="1800" w:hanging="360"/>
      </w:pPr>
      <w:rPr>
        <w:rFonts w:ascii="Symbol" w:hAnsi="Symbol" w:cs="OpenSymbol" w:hint="default"/>
        <w:b/>
        <w:sz w:val="24"/>
      </w:rPr>
    </w:lvl>
    <w:lvl w:ilvl="4">
      <w:start w:val="1"/>
      <w:numFmt w:val="bullet"/>
      <w:lvlText w:val="◦"/>
      <w:lvlJc w:val="left"/>
      <w:pPr>
        <w:tabs>
          <w:tab w:val="num" w:pos="2160"/>
        </w:tabs>
        <w:ind w:left="2160" w:hanging="360"/>
      </w:pPr>
      <w:rPr>
        <w:rFonts w:ascii="OpenSymbol" w:hAnsi="OpenSymbol" w:cs="OpenSymbol" w:hint="default"/>
        <w:b/>
        <w:sz w:val="24"/>
      </w:rPr>
    </w:lvl>
    <w:lvl w:ilvl="5">
      <w:start w:val="1"/>
      <w:numFmt w:val="bullet"/>
      <w:lvlText w:val="▪"/>
      <w:lvlJc w:val="left"/>
      <w:pPr>
        <w:tabs>
          <w:tab w:val="num" w:pos="2520"/>
        </w:tabs>
        <w:ind w:left="2520" w:hanging="360"/>
      </w:pPr>
      <w:rPr>
        <w:rFonts w:ascii="OpenSymbol" w:hAnsi="OpenSymbol" w:cs="OpenSymbol" w:hint="default"/>
        <w:b/>
        <w:sz w:val="24"/>
      </w:rPr>
    </w:lvl>
    <w:lvl w:ilvl="6">
      <w:start w:val="1"/>
      <w:numFmt w:val="bullet"/>
      <w:lvlText w:val=""/>
      <w:lvlJc w:val="left"/>
      <w:pPr>
        <w:tabs>
          <w:tab w:val="num" w:pos="2880"/>
        </w:tabs>
        <w:ind w:left="2880" w:hanging="360"/>
      </w:pPr>
      <w:rPr>
        <w:rFonts w:ascii="Symbol" w:hAnsi="Symbol" w:cs="OpenSymbol" w:hint="default"/>
        <w:b/>
        <w:sz w:val="24"/>
      </w:rPr>
    </w:lvl>
    <w:lvl w:ilvl="7">
      <w:start w:val="1"/>
      <w:numFmt w:val="bullet"/>
      <w:lvlText w:val="◦"/>
      <w:lvlJc w:val="left"/>
      <w:pPr>
        <w:tabs>
          <w:tab w:val="num" w:pos="3240"/>
        </w:tabs>
        <w:ind w:left="3240" w:hanging="360"/>
      </w:pPr>
      <w:rPr>
        <w:rFonts w:ascii="OpenSymbol" w:hAnsi="OpenSymbol" w:cs="OpenSymbol" w:hint="default"/>
        <w:b/>
        <w:sz w:val="24"/>
      </w:rPr>
    </w:lvl>
    <w:lvl w:ilvl="8">
      <w:start w:val="1"/>
      <w:numFmt w:val="bullet"/>
      <w:lvlText w:val="▪"/>
      <w:lvlJc w:val="left"/>
      <w:pPr>
        <w:tabs>
          <w:tab w:val="num" w:pos="3600"/>
        </w:tabs>
        <w:ind w:left="3600" w:hanging="360"/>
      </w:pPr>
      <w:rPr>
        <w:rFonts w:ascii="OpenSymbol" w:hAnsi="OpenSymbol" w:cs="OpenSymbol" w:hint="default"/>
        <w:b/>
        <w:sz w:val="24"/>
      </w:rPr>
    </w:lvl>
  </w:abstractNum>
  <w:abstractNum w:abstractNumId="5" w15:restartNumberingAfterBreak="0">
    <w:nsid w:val="3E797A17"/>
    <w:multiLevelType w:val="hybridMultilevel"/>
    <w:tmpl w:val="B7B67540"/>
    <w:lvl w:ilvl="0" w:tplc="6108F22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25716B6"/>
    <w:multiLevelType w:val="multilevel"/>
    <w:tmpl w:val="16B2F56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7" w15:restartNumberingAfterBreak="0">
    <w:nsid w:val="53CC0362"/>
    <w:multiLevelType w:val="hybridMultilevel"/>
    <w:tmpl w:val="BF0A5B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AD27909"/>
    <w:multiLevelType w:val="hybridMultilevel"/>
    <w:tmpl w:val="9CDC3764"/>
    <w:lvl w:ilvl="0" w:tplc="AE2659EE">
      <w:start w:val="1"/>
      <w:numFmt w:val="lowerLetter"/>
      <w:lvlText w:val="%1)"/>
      <w:lvlJc w:val="left"/>
      <w:pPr>
        <w:ind w:left="298" w:hanging="360"/>
      </w:pPr>
      <w:rPr>
        <w:rFonts w:hint="default"/>
      </w:rPr>
    </w:lvl>
    <w:lvl w:ilvl="1" w:tplc="340A0019" w:tentative="1">
      <w:start w:val="1"/>
      <w:numFmt w:val="lowerLetter"/>
      <w:lvlText w:val="%2."/>
      <w:lvlJc w:val="left"/>
      <w:pPr>
        <w:ind w:left="1018" w:hanging="360"/>
      </w:pPr>
    </w:lvl>
    <w:lvl w:ilvl="2" w:tplc="340A001B" w:tentative="1">
      <w:start w:val="1"/>
      <w:numFmt w:val="lowerRoman"/>
      <w:lvlText w:val="%3."/>
      <w:lvlJc w:val="right"/>
      <w:pPr>
        <w:ind w:left="1738" w:hanging="180"/>
      </w:pPr>
    </w:lvl>
    <w:lvl w:ilvl="3" w:tplc="340A000F" w:tentative="1">
      <w:start w:val="1"/>
      <w:numFmt w:val="decimal"/>
      <w:lvlText w:val="%4."/>
      <w:lvlJc w:val="left"/>
      <w:pPr>
        <w:ind w:left="2458" w:hanging="360"/>
      </w:pPr>
    </w:lvl>
    <w:lvl w:ilvl="4" w:tplc="340A0019" w:tentative="1">
      <w:start w:val="1"/>
      <w:numFmt w:val="lowerLetter"/>
      <w:lvlText w:val="%5."/>
      <w:lvlJc w:val="left"/>
      <w:pPr>
        <w:ind w:left="3178" w:hanging="360"/>
      </w:pPr>
    </w:lvl>
    <w:lvl w:ilvl="5" w:tplc="340A001B" w:tentative="1">
      <w:start w:val="1"/>
      <w:numFmt w:val="lowerRoman"/>
      <w:lvlText w:val="%6."/>
      <w:lvlJc w:val="right"/>
      <w:pPr>
        <w:ind w:left="3898" w:hanging="180"/>
      </w:pPr>
    </w:lvl>
    <w:lvl w:ilvl="6" w:tplc="340A000F" w:tentative="1">
      <w:start w:val="1"/>
      <w:numFmt w:val="decimal"/>
      <w:lvlText w:val="%7."/>
      <w:lvlJc w:val="left"/>
      <w:pPr>
        <w:ind w:left="4618" w:hanging="360"/>
      </w:pPr>
    </w:lvl>
    <w:lvl w:ilvl="7" w:tplc="340A0019" w:tentative="1">
      <w:start w:val="1"/>
      <w:numFmt w:val="lowerLetter"/>
      <w:lvlText w:val="%8."/>
      <w:lvlJc w:val="left"/>
      <w:pPr>
        <w:ind w:left="5338" w:hanging="360"/>
      </w:pPr>
    </w:lvl>
    <w:lvl w:ilvl="8" w:tplc="340A001B" w:tentative="1">
      <w:start w:val="1"/>
      <w:numFmt w:val="lowerRoman"/>
      <w:lvlText w:val="%9."/>
      <w:lvlJc w:val="right"/>
      <w:pPr>
        <w:ind w:left="6058" w:hanging="180"/>
      </w:pPr>
    </w:lvl>
  </w:abstractNum>
  <w:num w:numId="1">
    <w:abstractNumId w:val="4"/>
  </w:num>
  <w:num w:numId="2">
    <w:abstractNumId w:val="6"/>
  </w:num>
  <w:num w:numId="3">
    <w:abstractNumId w:val="7"/>
  </w:num>
  <w:num w:numId="4">
    <w:abstractNumId w:val="2"/>
  </w:num>
  <w:num w:numId="5">
    <w:abstractNumId w:val="3"/>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95"/>
    <w:rsid w:val="000766ED"/>
    <w:rsid w:val="001B11A3"/>
    <w:rsid w:val="002A6D20"/>
    <w:rsid w:val="002B3919"/>
    <w:rsid w:val="002D4986"/>
    <w:rsid w:val="00320A95"/>
    <w:rsid w:val="00356B27"/>
    <w:rsid w:val="004B71BE"/>
    <w:rsid w:val="004D5703"/>
    <w:rsid w:val="006353B9"/>
    <w:rsid w:val="00636FA2"/>
    <w:rsid w:val="00780247"/>
    <w:rsid w:val="00860E32"/>
    <w:rsid w:val="008C0400"/>
    <w:rsid w:val="00946D1D"/>
    <w:rsid w:val="009D5725"/>
    <w:rsid w:val="00A26692"/>
    <w:rsid w:val="00A7278A"/>
    <w:rsid w:val="00B41583"/>
    <w:rsid w:val="00C15652"/>
    <w:rsid w:val="00C378F5"/>
    <w:rsid w:val="00CB4BDD"/>
    <w:rsid w:val="00CC3A07"/>
    <w:rsid w:val="00D37462"/>
    <w:rsid w:val="00D93D72"/>
    <w:rsid w:val="00E172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831D"/>
  <w15:docId w15:val="{524102C5-9968-47AA-B845-8FFFE6AF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s-C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character" w:customStyle="1" w:styleId="EncabezadoCar">
    <w:name w:val="Encabezado Car"/>
    <w:basedOn w:val="Fuentedeprrafopredeter"/>
    <w:link w:val="Encabezado10"/>
    <w:uiPriority w:val="99"/>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Segoe UI" w:hAnsi="Segoe UI" w:cs="Segoe UI"/>
      <w:sz w:val="18"/>
      <w:szCs w:val="18"/>
    </w:rPr>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ascii="Arial" w:hAnsi="Arial" w:cs="OpenSymbol"/>
      <w:b/>
      <w:sz w:val="24"/>
    </w:rPr>
  </w:style>
  <w:style w:type="character" w:customStyle="1" w:styleId="ListLabel2">
    <w:name w:val="ListLabel 2"/>
    <w:qFormat/>
    <w:rPr>
      <w:rFonts w:ascii="Arial" w:hAnsi="Arial" w:cs="OpenSymbol"/>
      <w:b/>
      <w:sz w:val="24"/>
    </w:rPr>
  </w:style>
  <w:style w:type="character" w:customStyle="1" w:styleId="ListLabel3">
    <w:name w:val="ListLabel 3"/>
    <w:qFormat/>
    <w:rPr>
      <w:rFonts w:ascii="Arial" w:hAnsi="Arial" w:cs="OpenSymbol"/>
      <w:b/>
      <w:sz w:val="24"/>
    </w:rPr>
  </w:style>
  <w:style w:type="character" w:customStyle="1" w:styleId="ListLabel4">
    <w:name w:val="ListLabel 4"/>
    <w:qFormat/>
    <w:rPr>
      <w:rFonts w:ascii="Arial" w:hAnsi="Arial" w:cs="OpenSymbol"/>
      <w:b/>
      <w:sz w:val="24"/>
    </w:rPr>
  </w:style>
  <w:style w:type="character" w:customStyle="1" w:styleId="ListLabel5">
    <w:name w:val="ListLabel 5"/>
    <w:qFormat/>
    <w:rPr>
      <w:rFonts w:ascii="Arial" w:hAnsi="Arial" w:cs="OpenSymbol"/>
      <w:b/>
      <w:sz w:val="24"/>
    </w:rPr>
  </w:style>
  <w:style w:type="character" w:customStyle="1" w:styleId="ListLabel6">
    <w:name w:val="ListLabel 6"/>
    <w:qFormat/>
    <w:rPr>
      <w:rFonts w:ascii="Arial" w:hAnsi="Arial" w:cs="OpenSymbol"/>
      <w:b/>
      <w:sz w:val="24"/>
    </w:rPr>
  </w:style>
  <w:style w:type="character" w:customStyle="1" w:styleId="ListLabel7">
    <w:name w:val="ListLabel 7"/>
    <w:qFormat/>
    <w:rPr>
      <w:rFonts w:ascii="Arial" w:hAnsi="Arial" w:cs="OpenSymbol"/>
      <w:b/>
      <w:sz w:val="24"/>
    </w:rPr>
  </w:style>
  <w:style w:type="character" w:customStyle="1" w:styleId="ListLabel8">
    <w:name w:val="ListLabel 8"/>
    <w:qFormat/>
    <w:rPr>
      <w:rFonts w:ascii="Arial" w:hAnsi="Arial" w:cs="OpenSymbol"/>
      <w:b/>
      <w:sz w:val="24"/>
    </w:rPr>
  </w:style>
  <w:style w:type="character" w:customStyle="1" w:styleId="ListLabel9">
    <w:name w:val="ListLabel 9"/>
    <w:qFormat/>
    <w:rPr>
      <w:rFonts w:ascii="Arial" w:hAnsi="Arial" w:cs="OpenSymbol"/>
      <w:b/>
      <w:sz w:val="24"/>
    </w:rPr>
  </w:style>
  <w:style w:type="character" w:customStyle="1" w:styleId="ListLabel10">
    <w:name w:val="ListLabel 10"/>
    <w:qFormat/>
    <w:rPr>
      <w:rFonts w:ascii="Arial" w:hAnsi="Arial" w:cs="OpenSymbol"/>
      <w:b/>
      <w:sz w:val="24"/>
    </w:rPr>
  </w:style>
  <w:style w:type="character" w:customStyle="1" w:styleId="ListLabel11">
    <w:name w:val="ListLabel 11"/>
    <w:qFormat/>
    <w:rPr>
      <w:rFonts w:ascii="Arial" w:hAnsi="Arial" w:cs="OpenSymbol"/>
      <w:b/>
      <w:sz w:val="24"/>
    </w:rPr>
  </w:style>
  <w:style w:type="character" w:customStyle="1" w:styleId="ListLabel12">
    <w:name w:val="ListLabel 12"/>
    <w:qFormat/>
    <w:rPr>
      <w:rFonts w:ascii="Arial" w:hAnsi="Arial" w:cs="OpenSymbol"/>
      <w:b/>
      <w:sz w:val="24"/>
    </w:rPr>
  </w:style>
  <w:style w:type="character" w:customStyle="1" w:styleId="ListLabel13">
    <w:name w:val="ListLabel 13"/>
    <w:qFormat/>
    <w:rPr>
      <w:rFonts w:ascii="Arial" w:hAnsi="Arial" w:cs="OpenSymbol"/>
      <w:b/>
      <w:sz w:val="24"/>
    </w:rPr>
  </w:style>
  <w:style w:type="character" w:customStyle="1" w:styleId="ListLabel14">
    <w:name w:val="ListLabel 14"/>
    <w:qFormat/>
    <w:rPr>
      <w:rFonts w:ascii="Arial" w:hAnsi="Arial" w:cs="OpenSymbol"/>
      <w:b/>
      <w:sz w:val="24"/>
    </w:rPr>
  </w:style>
  <w:style w:type="paragraph" w:styleId="Encabezado">
    <w:name w:val="header"/>
    <w:basedOn w:val="Normal"/>
    <w:next w:val="Cuerpodetexto"/>
    <w:qFormat/>
    <w:pPr>
      <w:keepNext/>
      <w:spacing w:before="240" w:after="120"/>
    </w:pPr>
    <w:rPr>
      <w:rFonts w:ascii="Liberation Sans" w:eastAsia="Microsoft YaHei" w:hAnsi="Liberation Sans" w:cs="Arial Unicode M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Arial Unicode MS"/>
    </w:rPr>
  </w:style>
  <w:style w:type="paragraph" w:customStyle="1" w:styleId="Leyenda">
    <w:name w:val="Leyenda"/>
    <w:basedOn w:val="Normal"/>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customStyle="1" w:styleId="Encabezamiento">
    <w:name w:val="Encabezamiento"/>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qFormat/>
    <w:pPr>
      <w:spacing w:after="0" w:line="240" w:lineRule="auto"/>
    </w:pPr>
    <w:rPr>
      <w:rFonts w:ascii="Segoe UI" w:hAnsi="Segoe UI" w:cs="Segoe UI"/>
      <w:sz w:val="18"/>
      <w:szCs w:val="18"/>
    </w:rPr>
  </w:style>
  <w:style w:type="paragraph" w:styleId="Cita">
    <w:name w:val="Quote"/>
    <w:basedOn w:val="Normal"/>
    <w:qFormat/>
  </w:style>
  <w:style w:type="paragraph" w:styleId="Ttulo">
    <w:name w:val="Title"/>
    <w:basedOn w:val="Encabezado"/>
  </w:style>
  <w:style w:type="paragraph" w:styleId="Subttulo">
    <w:name w:val="Subtitle"/>
    <w:basedOn w:val="Encabezado"/>
  </w:style>
  <w:style w:type="table" w:styleId="Tablaconcuadrcula">
    <w:name w:val="Table Grid"/>
    <w:basedOn w:val="Tablanormal"/>
    <w:uiPriority w:val="39"/>
    <w:rsid w:val="00A7278A"/>
    <w:pPr>
      <w:spacing w:line="240" w:lineRule="auto"/>
    </w:pPr>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7278A"/>
    <w:pPr>
      <w:suppressAutoHyphens w:val="0"/>
      <w:overflowPunct/>
      <w:spacing w:after="0" w:line="240" w:lineRule="auto"/>
    </w:pPr>
    <w:rPr>
      <w:rFonts w:asciiTheme="minorHAnsi" w:eastAsiaTheme="minorHAnsi" w:hAnsiTheme="minorHAnsi" w:cstheme="minorBidi"/>
      <w:color w:val="auto"/>
      <w:sz w:val="20"/>
      <w:szCs w:val="20"/>
    </w:rPr>
  </w:style>
  <w:style w:type="character" w:customStyle="1" w:styleId="TextonotapieCar">
    <w:name w:val="Texto nota pie Car"/>
    <w:basedOn w:val="Fuentedeprrafopredeter"/>
    <w:link w:val="Textonotapie"/>
    <w:uiPriority w:val="99"/>
    <w:rsid w:val="00A7278A"/>
    <w:rPr>
      <w:rFonts w:asciiTheme="minorHAnsi" w:eastAsiaTheme="minorHAnsi" w:hAnsiTheme="minorHAnsi" w:cstheme="minorBidi"/>
      <w:szCs w:val="20"/>
    </w:rPr>
  </w:style>
  <w:style w:type="character" w:styleId="Refdenotaalpie">
    <w:name w:val="footnote reference"/>
    <w:basedOn w:val="Fuentedeprrafopredeter"/>
    <w:uiPriority w:val="99"/>
    <w:unhideWhenUsed/>
    <w:rsid w:val="00A7278A"/>
    <w:rPr>
      <w:vertAlign w:val="superscript"/>
    </w:rPr>
  </w:style>
  <w:style w:type="paragraph" w:styleId="Prrafodelista">
    <w:name w:val="List Paragraph"/>
    <w:basedOn w:val="Normal"/>
    <w:uiPriority w:val="34"/>
    <w:qFormat/>
    <w:rsid w:val="002B3919"/>
    <w:pPr>
      <w:suppressAutoHyphens w:val="0"/>
      <w:overflowPunct/>
      <w:ind w:left="720"/>
      <w:contextualSpacing/>
    </w:pPr>
    <w:rPr>
      <w:rFonts w:cs="Times New Roman"/>
      <w:color w:val="auto"/>
      <w:szCs w:val="20"/>
    </w:rPr>
  </w:style>
  <w:style w:type="character" w:styleId="Hipervnculo">
    <w:name w:val="Hyperlink"/>
    <w:basedOn w:val="Fuentedeprrafopredeter"/>
    <w:uiPriority w:val="99"/>
    <w:unhideWhenUsed/>
    <w:rsid w:val="002B3919"/>
    <w:rPr>
      <w:color w:val="0000FF"/>
      <w:u w:val="single"/>
    </w:rPr>
  </w:style>
  <w:style w:type="character" w:customStyle="1" w:styleId="TextonotapieCar1">
    <w:name w:val="Texto nota pie Car1"/>
    <w:basedOn w:val="Fuentedeprrafopredeter"/>
    <w:uiPriority w:val="99"/>
    <w:semiHidden/>
    <w:rsid w:val="002B3919"/>
    <w:rPr>
      <w:lang w:eastAsia="en-US"/>
    </w:rPr>
  </w:style>
  <w:style w:type="paragraph" w:customStyle="1" w:styleId="Encabezado10">
    <w:name w:val="Encabezado1"/>
    <w:basedOn w:val="Normal"/>
    <w:link w:val="EncabezadoCar"/>
    <w:uiPriority w:val="99"/>
    <w:semiHidden/>
    <w:unhideWhenUsed/>
    <w:rsid w:val="00636FA2"/>
    <w:pPr>
      <w:tabs>
        <w:tab w:val="center" w:pos="4419"/>
        <w:tab w:val="right" w:pos="8838"/>
      </w:tabs>
      <w:suppressAutoHyphens w:val="0"/>
      <w:overflowPunct/>
      <w:spacing w:after="0" w:line="240" w:lineRule="auto"/>
    </w:pPr>
    <w:rP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bcn.cl/historiadelaley/nc/historia-de-la-ley/58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531</Words>
  <Characters>2923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Claudio Rodriguez Romo</cp:lastModifiedBy>
  <cp:revision>4</cp:revision>
  <cp:lastPrinted>2018-04-19T14:39:00Z</cp:lastPrinted>
  <dcterms:created xsi:type="dcterms:W3CDTF">2018-07-25T21:43:00Z</dcterms:created>
  <dcterms:modified xsi:type="dcterms:W3CDTF">2018-08-01T20:51:00Z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