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Indicaci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sustitutiva al proyecto que declara la imprescriptibilidad de delitos sexuales contra menores.</w:t>
      </w:r>
    </w:p>
    <w:p>
      <w:pPr>
        <w:pStyle w:val="Cuerpo"/>
        <w:jc w:val="center"/>
      </w:pPr>
    </w:p>
    <w:p>
      <w:pPr>
        <w:pStyle w:val="Cuerpo"/>
        <w:jc w:val="center"/>
      </w:pPr>
      <w:r>
        <w:rPr>
          <w:rtl w:val="0"/>
          <w:lang w:val="es-ES_tradnl"/>
        </w:rPr>
        <w:t>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6956-07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Ministro de Justicia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Gobierno tiene como prioridad la infancia y por eso ha iniciado distintas iniciativas como modificar la ley de adopci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entre otras.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da-DK"/>
        </w:rPr>
        <w:t>Se opt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por realizar una indicaci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sustitutiva al bolet</w:t>
      </w:r>
      <w:r>
        <w:rPr>
          <w:rtl w:val="0"/>
        </w:rPr>
        <w:t>í</w:t>
      </w:r>
      <w:r>
        <w:rPr>
          <w:rtl w:val="0"/>
          <w:lang w:val="es-ES_tradnl"/>
        </w:rPr>
        <w:t>n 6.956-07, por ser la moci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n de m</w:t>
      </w:r>
      <w:r>
        <w:rPr>
          <w:rtl w:val="0"/>
        </w:rPr>
        <w:t>á</w:t>
      </w:r>
      <w:r>
        <w:rPr>
          <w:rtl w:val="0"/>
          <w:lang w:val="es-ES_tradnl"/>
        </w:rPr>
        <w:t>s antigua data y que tiene la tramitaci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legislativa m</w:t>
      </w:r>
      <w:r>
        <w:rPr>
          <w:rtl w:val="0"/>
        </w:rPr>
        <w:t>á</w:t>
      </w:r>
      <w:r>
        <w:rPr>
          <w:rtl w:val="0"/>
          <w:lang w:val="es-ES_tradnl"/>
        </w:rPr>
        <w:t>s avanzada.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El problema de los delitos sexuales contra menores es que es muy 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cil la denuncia porque la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las veces estos delitos son cometidos por familiares. </w:t>
      </w:r>
    </w:p>
    <w:p>
      <w:pPr>
        <w:pStyle w:val="Cuerpo"/>
        <w:jc w:val="both"/>
      </w:pPr>
      <w:r>
        <w:rPr>
          <w:rtl w:val="0"/>
          <w:lang w:val="es-ES_tradnl"/>
        </w:rPr>
        <w:t>Hay insuficiencia de la legislaci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actual, dado que la evidencia medica,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gica ha avanzado de gran manera.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las relaciones de poder y superioridad entre agresor y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ctima, son una de las razones por las cuales las personas no denuncian a tiempo. Son situaciones 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ciles a veces insuperables por lo que no podemos ponerle un tiempo.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color w:val="ffffff"/>
          <w:sz w:val="40"/>
          <w:szCs w:val="40"/>
          <w:lang w:val="es-ES_tradnl"/>
        </w:rPr>
      </w:pPr>
      <w:r>
        <w:rPr>
          <w:rtl w:val="0"/>
          <w:lang w:val="es-ES_tradnl"/>
        </w:rPr>
        <w:t>A diferencia del texto aprobado por la Comisi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Especial encargada de tramitar proyectos de ley relacionados con los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y adolescentes, en este cat</w:t>
      </w:r>
      <w:r>
        <w:rPr>
          <w:rtl w:val="0"/>
        </w:rPr>
        <w:t>á</w:t>
      </w:r>
      <w:r>
        <w:rPr>
          <w:rtl w:val="0"/>
          <w:lang w:val="es-ES_tradnl"/>
        </w:rPr>
        <w:t>logo de delitos se incorporan tres il</w:t>
      </w:r>
      <w:r>
        <w:rPr>
          <w:rtl w:val="0"/>
        </w:rPr>
        <w:t>í</w:t>
      </w:r>
      <w:r>
        <w:rPr>
          <w:rtl w:val="0"/>
          <w:lang w:val="es-ES_tradnl"/>
        </w:rPr>
        <w:t xml:space="preserve">citos dentro de aquellos cuya pena no prescribe, estos son: </w:t>
      </w:r>
    </w:p>
    <w:p>
      <w:pPr>
        <w:pStyle w:val="Cuerpo"/>
        <w:numPr>
          <w:ilvl w:val="0"/>
          <w:numId w:val="1"/>
        </w:numPr>
        <w:jc w:val="both"/>
        <w:rPr>
          <w:lang w:val="es-ES_tradnl"/>
        </w:rPr>
      </w:pPr>
      <w:r>
        <w:rPr>
          <w:rtl w:val="0"/>
          <w:lang w:val="es-ES_tradnl"/>
        </w:rPr>
        <w:t>Secuestro con violaci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</w:p>
    <w:p>
      <w:pPr>
        <w:pStyle w:val="Cuerpo"/>
        <w:numPr>
          <w:ilvl w:val="0"/>
          <w:numId w:val="1"/>
        </w:numPr>
        <w:jc w:val="both"/>
        <w:rPr>
          <w:lang w:val="es-ES_tradnl"/>
        </w:rPr>
      </w:pPr>
      <w:r>
        <w:rPr>
          <w:rtl w:val="0"/>
          <w:lang w:val="es-ES_tradnl"/>
        </w:rPr>
        <w:t>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homicidio</w:t>
      </w:r>
    </w:p>
    <w:p>
      <w:pPr>
        <w:pStyle w:val="Cuerpo"/>
        <w:numPr>
          <w:ilvl w:val="0"/>
          <w:numId w:val="1"/>
        </w:numPr>
        <w:jc w:val="both"/>
        <w:rPr>
          <w:rStyle w:val="Ninguno"/>
          <w:color w:val="ffffff"/>
          <w:sz w:val="28"/>
          <w:szCs w:val="28"/>
          <w:lang w:val="es-ES_tradnl"/>
        </w:rPr>
      </w:pPr>
      <w:r>
        <w:rPr>
          <w:rtl w:val="0"/>
          <w:lang w:val="es-ES_tradnl"/>
        </w:rPr>
        <w:t>Comercializaci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importaci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exportaci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n, distribuci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difusi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exhibici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almacenamiento o adquisici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maliciosa de material pornogr</w:t>
      </w:r>
      <w:r>
        <w:rPr>
          <w:rtl w:val="0"/>
        </w:rPr>
        <w:t>á</w:t>
      </w:r>
      <w:r>
        <w:rPr>
          <w:rtl w:val="0"/>
          <w:lang w:val="it-IT"/>
        </w:rPr>
        <w:t xml:space="preserve">fico infantil 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Senador Harboe y Senador De Urresti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Pide informe a Corte Suprema y un informe mayor sobre efectos que han tenido normas sobre imprescriptibilidad en otros ordenamientos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dicos. 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Opini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Secretario de la Corte Suprema  </w:t>
      </w:r>
    </w:p>
    <w:p>
      <w:pPr>
        <w:pStyle w:val="Cuerpo"/>
        <w:jc w:val="both"/>
      </w:pPr>
      <w:r>
        <w:rPr>
          <w:rtl w:val="0"/>
          <w:lang w:val="es-ES_tradnl"/>
        </w:rPr>
        <w:t>(hace hincapi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en que es una opini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personal y no institucional del poder judicial)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Primero hace distinci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entre prescripci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penal, que es el lapso de tiempo durante el cual puede perseguirse eficazmente la responsabilidad penal del autor de un crimen, simple delito o falta; y la prescripci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pena que tiene como efecto impedir la efectiva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una condena, cuando ella no se ha impuesto en los plazos que establece el articulo 97 del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digo penal.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El transcurso del tiempo implica           </w:t>
      </w:r>
    </w:p>
    <w:p>
      <w:pPr>
        <w:pStyle w:val="Cuerpo"/>
        <w:jc w:val="both"/>
      </w:pP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Atenuaci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del injusto y de la culpabilidad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moralmente contradictorio castigar al culpable y privarle el derecho a un juicio breve y razonable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La personalidad del autor cambia sobre todo en adolescentes y j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venes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 xml:space="preserve">En materia procesal implica que se hace cargo de los problemas probatorios para condenar, pues muchas veces las evidencias ya no existen transcurrido un tiempo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Garantia de seguridad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dica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Unico caso actualmente en nuestro ordenamiento jur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dico de imprescriptibilidad son los delitos de lesa humanidad.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Hay que tener presente que los Delitos sexuales en general tienen graves problemas probatorios y reformas como la propuesta solo podr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an agravar la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prueba.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El secretario de la corte Suprema, considera que mas que la modificaci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las reglas de la prescripci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 necesario reformar las normas que dicen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una investigaci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mas expedita y eficaz para lograr la condena penal en los casos que corresponde. </w:t>
      </w:r>
    </w:p>
    <w:p>
      <w:pPr>
        <w:pStyle w:val="Cuerpo"/>
        <w:jc w:val="both"/>
      </w:pPr>
    </w:p>
    <w:p>
      <w:pPr>
        <w:pStyle w:val="Cuerpo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97" w:hanging="29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7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14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288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360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32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504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5760" w:firstLine="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