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336854" w:rsidRDefault="00336854" w:rsidP="00336854">
      <w:pPr>
        <w:jc w:val="center"/>
        <w:rPr>
          <w:rFonts w:ascii="Arial" w:hAnsi="Arial" w:cs="Arial"/>
          <w:b/>
          <w:caps/>
          <w:sz w:val="24"/>
          <w:szCs w:val="24"/>
          <w:u w:val="single"/>
          <w:lang w:val="es-419"/>
        </w:rPr>
      </w:pPr>
      <w:r>
        <w:rPr>
          <w:rFonts w:ascii="Arial" w:hAnsi="Arial" w:cs="Arial"/>
          <w:b/>
          <w:caps/>
          <w:sz w:val="24"/>
          <w:szCs w:val="24"/>
          <w:u w:val="single"/>
        </w:rPr>
        <w:t>minuta</w:t>
      </w:r>
    </w:p>
    <w:p w:rsidR="00336854" w:rsidRDefault="00336854" w:rsidP="00336854">
      <w:pPr>
        <w:tabs>
          <w:tab w:val="left" w:pos="2835"/>
        </w:tabs>
        <w:spacing w:after="0" w:line="240" w:lineRule="auto"/>
        <w:jc w:val="center"/>
        <w:rPr>
          <w:rFonts w:ascii="Arial" w:hAnsi="Arial" w:cs="Arial"/>
          <w:b/>
          <w:sz w:val="24"/>
          <w:szCs w:val="24"/>
          <w:u w:val="single"/>
          <w:lang w:val="es-ES_tradnl" w:eastAsia="es-ES_tradnl"/>
        </w:rPr>
      </w:pPr>
      <w:r w:rsidRPr="007E387E">
        <w:rPr>
          <w:rFonts w:ascii="Arial" w:hAnsi="Arial" w:cs="Arial"/>
          <w:b/>
          <w:sz w:val="24"/>
          <w:szCs w:val="24"/>
          <w:u w:val="single"/>
          <w:lang w:val="es-ES_tradnl" w:eastAsia="es-ES_tradnl"/>
        </w:rPr>
        <w:t xml:space="preserve">PROYECTO DE LEY </w:t>
      </w:r>
      <w:r w:rsidRPr="00C74A3A">
        <w:rPr>
          <w:rFonts w:ascii="Arial" w:hAnsi="Arial" w:cs="Arial"/>
          <w:b/>
          <w:sz w:val="24"/>
          <w:szCs w:val="24"/>
          <w:u w:val="single"/>
          <w:lang w:val="es-ES_tradnl" w:eastAsia="es-ES_tradnl"/>
        </w:rPr>
        <w:t xml:space="preserve">QUE </w:t>
      </w:r>
      <w:r w:rsidRPr="00F110B9">
        <w:rPr>
          <w:rFonts w:ascii="Arial" w:hAnsi="Arial" w:cs="Arial"/>
          <w:b/>
          <w:sz w:val="24"/>
          <w:szCs w:val="24"/>
          <w:u w:val="single"/>
          <w:lang w:val="es-ES_tradnl" w:eastAsia="es-ES_tradnl"/>
        </w:rPr>
        <w:t xml:space="preserve">MODIFICA EL ARTÍCULO 9° DEL DECRETO </w:t>
      </w:r>
      <w:proofErr w:type="spellStart"/>
      <w:r w:rsidRPr="00F110B9">
        <w:rPr>
          <w:rFonts w:ascii="Arial" w:hAnsi="Arial" w:cs="Arial"/>
          <w:b/>
          <w:sz w:val="24"/>
          <w:szCs w:val="24"/>
          <w:u w:val="single"/>
          <w:lang w:val="es-ES_tradnl" w:eastAsia="es-ES_tradnl"/>
        </w:rPr>
        <w:t>N°</w:t>
      </w:r>
      <w:proofErr w:type="spellEnd"/>
      <w:r w:rsidRPr="00F110B9">
        <w:rPr>
          <w:rFonts w:ascii="Arial" w:hAnsi="Arial" w:cs="Arial"/>
          <w:b/>
          <w:sz w:val="24"/>
          <w:szCs w:val="24"/>
          <w:u w:val="single"/>
          <w:lang w:val="es-ES_tradnl" w:eastAsia="es-ES_tradnl"/>
        </w:rPr>
        <w:t xml:space="preserve"> 400, DE 1978, DEL MINISTERIO DE DEFENSA NACIONAL, QUE FIJA TEXTO REFUNDIDO, COORDINADO Y SISTEMATIZADO DE LA LEY </w:t>
      </w:r>
      <w:proofErr w:type="spellStart"/>
      <w:r w:rsidRPr="00F110B9">
        <w:rPr>
          <w:rFonts w:ascii="Arial" w:hAnsi="Arial" w:cs="Arial"/>
          <w:b/>
          <w:sz w:val="24"/>
          <w:szCs w:val="24"/>
          <w:u w:val="single"/>
          <w:lang w:val="es-ES_tradnl" w:eastAsia="es-ES_tradnl"/>
        </w:rPr>
        <w:t>N°</w:t>
      </w:r>
      <w:proofErr w:type="spellEnd"/>
      <w:r w:rsidRPr="00F110B9">
        <w:rPr>
          <w:rFonts w:ascii="Arial" w:hAnsi="Arial" w:cs="Arial"/>
          <w:b/>
          <w:sz w:val="24"/>
          <w:szCs w:val="24"/>
          <w:u w:val="single"/>
          <w:lang w:val="es-ES_tradnl" w:eastAsia="es-ES_tradnl"/>
        </w:rPr>
        <w:t xml:space="preserve"> 17.798, SOBRE CONTROL DE ARMAS, EN MATERIA DE POSESIÓN, TENENCIA O PORTE DE ARMAS.</w:t>
      </w:r>
    </w:p>
    <w:p w:rsidR="00336854" w:rsidRPr="00F110B9" w:rsidRDefault="00336854" w:rsidP="00336854">
      <w:pPr>
        <w:tabs>
          <w:tab w:val="left" w:pos="2835"/>
        </w:tabs>
        <w:spacing w:after="0" w:line="240" w:lineRule="auto"/>
        <w:jc w:val="center"/>
        <w:rPr>
          <w:rFonts w:ascii="Arial" w:hAnsi="Arial" w:cs="Arial"/>
          <w:b/>
          <w:sz w:val="24"/>
          <w:szCs w:val="24"/>
          <w:u w:val="single"/>
          <w:lang w:val="es-ES_tradnl" w:eastAsia="es-ES_tradnl"/>
        </w:rPr>
      </w:pPr>
    </w:p>
    <w:p w:rsidR="00336854" w:rsidRDefault="00336854" w:rsidP="00336854">
      <w:pPr>
        <w:spacing w:after="0" w:line="324" w:lineRule="atLeast"/>
        <w:jc w:val="center"/>
        <w:rPr>
          <w:rFonts w:ascii="Arial" w:hAnsi="Arial" w:cs="Arial"/>
          <w:b/>
          <w:bCs/>
          <w:color w:val="000000"/>
          <w:sz w:val="24"/>
          <w:szCs w:val="24"/>
          <w:u w:val="single"/>
          <w:lang w:val="es-ES_tradnl" w:eastAsia="es-ES_tradnl"/>
        </w:rPr>
      </w:pPr>
      <w:r w:rsidRPr="00716E52">
        <w:rPr>
          <w:rFonts w:ascii="Arial" w:hAnsi="Arial" w:cs="Arial"/>
          <w:b/>
          <w:bCs/>
          <w:color w:val="000000"/>
          <w:sz w:val="24"/>
          <w:szCs w:val="24"/>
          <w:u w:val="single"/>
          <w:lang w:val="es-ES_tradnl" w:eastAsia="es-ES_tradnl"/>
        </w:rPr>
        <w:t xml:space="preserve">BOLETÍN </w:t>
      </w:r>
      <w:proofErr w:type="spellStart"/>
      <w:r w:rsidRPr="00716E52">
        <w:rPr>
          <w:rFonts w:ascii="Arial" w:hAnsi="Arial" w:cs="Arial"/>
          <w:b/>
          <w:bCs/>
          <w:color w:val="000000"/>
          <w:sz w:val="24"/>
          <w:szCs w:val="24"/>
          <w:u w:val="single"/>
          <w:lang w:val="es-ES_tradnl" w:eastAsia="es-ES_tradnl"/>
        </w:rPr>
        <w:t>N°</w:t>
      </w:r>
      <w:proofErr w:type="spellEnd"/>
      <w:r w:rsidRPr="00716E52">
        <w:rPr>
          <w:rFonts w:ascii="Arial" w:hAnsi="Arial" w:cs="Arial"/>
          <w:b/>
          <w:bCs/>
          <w:color w:val="000000"/>
          <w:sz w:val="24"/>
          <w:szCs w:val="24"/>
          <w:u w:val="single"/>
          <w:lang w:val="es-ES_tradnl" w:eastAsia="es-ES_tradnl"/>
        </w:rPr>
        <w:t> </w:t>
      </w:r>
      <w:r>
        <w:rPr>
          <w:rFonts w:ascii="Arial" w:hAnsi="Arial" w:cs="Arial"/>
          <w:b/>
          <w:bCs/>
          <w:color w:val="000000"/>
          <w:sz w:val="24"/>
          <w:szCs w:val="24"/>
          <w:u w:val="single"/>
          <w:lang w:val="es-ES_tradnl" w:eastAsia="es-ES_tradnl"/>
        </w:rPr>
        <w:t>10.658-07</w:t>
      </w:r>
    </w:p>
    <w:p w:rsidR="00336854" w:rsidRPr="005C0987" w:rsidRDefault="00336854" w:rsidP="00336854">
      <w:pPr>
        <w:spacing w:after="0" w:line="324" w:lineRule="atLeast"/>
        <w:jc w:val="center"/>
        <w:rPr>
          <w:rFonts w:ascii="Arial" w:hAnsi="Arial" w:cs="Arial"/>
          <w:b/>
          <w:bCs/>
          <w:color w:val="000000"/>
          <w:sz w:val="24"/>
          <w:szCs w:val="24"/>
          <w:u w:val="single"/>
          <w:lang w:val="es-419" w:eastAsia="es-ES_tradnl"/>
        </w:rPr>
      </w:pPr>
    </w:p>
    <w:p w:rsidR="00336854" w:rsidRPr="00716E52" w:rsidRDefault="00336854" w:rsidP="00336854">
      <w:pPr>
        <w:spacing w:after="0" w:line="240" w:lineRule="auto"/>
        <w:rPr>
          <w:rFonts w:ascii="Arial" w:hAnsi="Arial" w:cs="Arial"/>
          <w:b/>
          <w:sz w:val="24"/>
          <w:szCs w:val="24"/>
          <w:u w:val="single"/>
          <w:lang w:val="es-419" w:eastAsia="es-ES_tradnl"/>
        </w:rPr>
      </w:pPr>
    </w:p>
    <w:p w:rsidR="00336854" w:rsidRPr="00F110B9" w:rsidRDefault="00336854" w:rsidP="00336854">
      <w:pPr>
        <w:tabs>
          <w:tab w:val="left" w:pos="2835"/>
        </w:tabs>
        <w:spacing w:after="0" w:line="276" w:lineRule="auto"/>
        <w:jc w:val="both"/>
        <w:rPr>
          <w:rFonts w:ascii="Arial" w:eastAsia="Times New Roman" w:hAnsi="Arial" w:cs="Arial"/>
          <w:color w:val="000000"/>
          <w:sz w:val="24"/>
          <w:szCs w:val="24"/>
          <w:lang w:val="es-419" w:eastAsia="es-ES_tradnl"/>
        </w:rPr>
      </w:pPr>
      <w:r w:rsidRPr="00F110B9">
        <w:rPr>
          <w:rFonts w:ascii="Arial" w:hAnsi="Arial" w:cs="Arial"/>
          <w:b/>
          <w:sz w:val="24"/>
          <w:szCs w:val="24"/>
          <w:u w:val="single"/>
        </w:rPr>
        <w:t>ORÍGEN DE LA INICIATIVA:</w:t>
      </w:r>
      <w:r>
        <w:rPr>
          <w:rFonts w:eastAsia="Calibri"/>
          <w:sz w:val="24"/>
          <w:szCs w:val="24"/>
        </w:rPr>
        <w:t xml:space="preserve"> </w:t>
      </w:r>
      <w:r w:rsidRPr="00F110B9">
        <w:rPr>
          <w:rFonts w:ascii="Arial" w:eastAsia="Times New Roman" w:hAnsi="Arial" w:cs="Arial"/>
          <w:color w:val="000000"/>
          <w:sz w:val="24"/>
          <w:szCs w:val="24"/>
          <w:lang w:val="es-419" w:eastAsia="es-ES_tradnl"/>
        </w:rPr>
        <w:t xml:space="preserve">Moción de los Senadores Tuma, Araya, Espina y </w:t>
      </w:r>
      <w:proofErr w:type="spellStart"/>
      <w:r w:rsidRPr="00F110B9">
        <w:rPr>
          <w:rFonts w:ascii="Arial" w:eastAsia="Times New Roman" w:hAnsi="Arial" w:cs="Arial"/>
          <w:color w:val="000000"/>
          <w:sz w:val="24"/>
          <w:szCs w:val="24"/>
          <w:lang w:val="es-419" w:eastAsia="es-ES_tradnl"/>
        </w:rPr>
        <w:t>Harboe</w:t>
      </w:r>
      <w:proofErr w:type="spellEnd"/>
      <w:r w:rsidRPr="00F110B9">
        <w:rPr>
          <w:rFonts w:ascii="Arial" w:eastAsia="Times New Roman" w:hAnsi="Arial" w:cs="Arial"/>
          <w:color w:val="000000"/>
          <w:sz w:val="24"/>
          <w:szCs w:val="24"/>
          <w:lang w:val="es-419" w:eastAsia="es-ES_tradnl"/>
        </w:rPr>
        <w:t>.</w:t>
      </w:r>
    </w:p>
    <w:p w:rsidR="00336854" w:rsidRDefault="00336854" w:rsidP="00336854">
      <w:pPr>
        <w:pStyle w:val="p1"/>
        <w:spacing w:line="276" w:lineRule="auto"/>
        <w:ind w:firstLine="0"/>
        <w:rPr>
          <w:sz w:val="24"/>
          <w:szCs w:val="24"/>
          <w:lang w:val="es-419"/>
        </w:rPr>
      </w:pPr>
      <w:r>
        <w:rPr>
          <w:sz w:val="24"/>
          <w:szCs w:val="24"/>
          <w:lang w:val="es-419"/>
        </w:rPr>
        <w:t>.</w:t>
      </w:r>
    </w:p>
    <w:p w:rsidR="00336854" w:rsidRDefault="00336854" w:rsidP="00336854">
      <w:pPr>
        <w:spacing w:line="276" w:lineRule="auto"/>
        <w:jc w:val="both"/>
        <w:rPr>
          <w:rFonts w:ascii="Arial" w:eastAsia="Times New Roman" w:hAnsi="Arial" w:cs="Arial"/>
          <w:color w:val="000000"/>
          <w:sz w:val="24"/>
          <w:szCs w:val="24"/>
          <w:lang w:val="es-419" w:eastAsia="es-ES_tradnl"/>
        </w:rPr>
      </w:pPr>
      <w:r w:rsidRPr="006A5E31">
        <w:rPr>
          <w:rFonts w:ascii="Arial" w:hAnsi="Arial" w:cs="Arial"/>
          <w:b/>
          <w:sz w:val="24"/>
          <w:szCs w:val="24"/>
          <w:u w:val="single"/>
        </w:rPr>
        <w:t>NORMAS DE QUÓRUM ESPECIAL</w:t>
      </w:r>
      <w:r w:rsidRPr="006A5E31">
        <w:rPr>
          <w:rFonts w:ascii="Arial" w:hAnsi="Arial" w:cs="Arial"/>
          <w:b/>
          <w:sz w:val="24"/>
          <w:szCs w:val="24"/>
        </w:rPr>
        <w:t>:</w:t>
      </w:r>
      <w:r>
        <w:rPr>
          <w:rFonts w:ascii="Arial" w:hAnsi="Arial" w:cs="Arial"/>
          <w:b/>
          <w:sz w:val="24"/>
          <w:szCs w:val="24"/>
        </w:rPr>
        <w:t xml:space="preserve"> </w:t>
      </w:r>
      <w:r>
        <w:rPr>
          <w:rFonts w:ascii="Arial" w:eastAsia="Times New Roman" w:hAnsi="Arial" w:cs="Arial"/>
          <w:color w:val="000000"/>
          <w:sz w:val="24"/>
          <w:szCs w:val="24"/>
          <w:lang w:val="es-419" w:eastAsia="es-ES_tradnl"/>
        </w:rPr>
        <w:t>No Posee</w:t>
      </w:r>
    </w:p>
    <w:p w:rsidR="00336854" w:rsidRPr="007D40E5" w:rsidRDefault="00336854" w:rsidP="00336854">
      <w:pPr>
        <w:spacing w:line="276" w:lineRule="auto"/>
        <w:jc w:val="both"/>
        <w:rPr>
          <w:rFonts w:ascii="Arial" w:eastAsia="Times New Roman" w:hAnsi="Arial" w:cs="Arial"/>
          <w:sz w:val="24"/>
          <w:szCs w:val="24"/>
          <w:lang w:val="es-419" w:eastAsia="es-ES_tradnl"/>
        </w:rPr>
      </w:pPr>
      <w:r w:rsidRPr="007D40E5">
        <w:rPr>
          <w:rFonts w:ascii="Arial" w:hAnsi="Arial" w:cs="Arial"/>
          <w:b/>
          <w:sz w:val="24"/>
          <w:szCs w:val="24"/>
          <w:u w:val="single"/>
        </w:rPr>
        <w:t>ESTADO DE TRAMITACIÓN</w:t>
      </w:r>
      <w:r w:rsidRPr="007D40E5">
        <w:rPr>
          <w:rFonts w:ascii="Arial" w:hAnsi="Arial" w:cs="Arial"/>
          <w:b/>
          <w:sz w:val="24"/>
          <w:szCs w:val="24"/>
        </w:rPr>
        <w:t>:</w:t>
      </w:r>
      <w:r w:rsidRPr="007D40E5">
        <w:rPr>
          <w:rFonts w:ascii="Arial" w:hAnsi="Arial" w:cs="Arial"/>
          <w:sz w:val="24"/>
          <w:szCs w:val="24"/>
        </w:rPr>
        <w:t xml:space="preserve"> </w:t>
      </w:r>
      <w:r>
        <w:rPr>
          <w:rFonts w:ascii="Arial" w:hAnsi="Arial" w:cs="Arial"/>
          <w:sz w:val="24"/>
          <w:szCs w:val="24"/>
        </w:rPr>
        <w:t>Primer</w:t>
      </w:r>
      <w:r w:rsidRPr="007D40E5">
        <w:rPr>
          <w:rFonts w:ascii="Arial" w:hAnsi="Arial" w:cs="Arial"/>
          <w:sz w:val="24"/>
          <w:szCs w:val="24"/>
        </w:rPr>
        <w:t xml:space="preserve"> Trámite Constitucional.</w:t>
      </w:r>
      <w:r w:rsidRPr="007D40E5">
        <w:rPr>
          <w:rFonts w:ascii="Arial" w:hAnsi="Arial" w:cs="Arial"/>
          <w:sz w:val="24"/>
          <w:szCs w:val="24"/>
          <w:lang w:val="es-419"/>
        </w:rPr>
        <w:t xml:space="preserve"> Con</w:t>
      </w:r>
      <w:r w:rsidRPr="007D40E5">
        <w:rPr>
          <w:rFonts w:ascii="Arial" w:hAnsi="Arial" w:cs="Arial"/>
          <w:color w:val="000000"/>
          <w:sz w:val="24"/>
          <w:szCs w:val="24"/>
        </w:rPr>
        <w:t xml:space="preserve"> </w:t>
      </w:r>
      <w:r>
        <w:rPr>
          <w:rFonts w:ascii="Arial" w:hAnsi="Arial" w:cs="Arial"/>
          <w:color w:val="000000"/>
          <w:sz w:val="24"/>
          <w:szCs w:val="24"/>
        </w:rPr>
        <w:t>primer</w:t>
      </w:r>
      <w:r w:rsidRPr="007D40E5">
        <w:rPr>
          <w:rFonts w:ascii="Arial" w:hAnsi="Arial" w:cs="Arial"/>
          <w:color w:val="000000"/>
          <w:sz w:val="24"/>
          <w:szCs w:val="24"/>
        </w:rPr>
        <w:t xml:space="preserve"> informe de la Comisión de </w:t>
      </w:r>
      <w:r>
        <w:rPr>
          <w:rFonts w:ascii="Arial" w:hAnsi="Arial" w:cs="Arial"/>
          <w:color w:val="000000"/>
          <w:sz w:val="24"/>
          <w:szCs w:val="24"/>
        </w:rPr>
        <w:t>Defensa Nacional</w:t>
      </w:r>
      <w:r w:rsidRPr="007D40E5">
        <w:rPr>
          <w:rFonts w:ascii="Arial" w:hAnsi="Arial" w:cs="Arial"/>
          <w:sz w:val="24"/>
          <w:szCs w:val="24"/>
          <w:lang w:val="es-419"/>
        </w:rPr>
        <w:t xml:space="preserve">. </w:t>
      </w:r>
      <w:r w:rsidRPr="007D40E5">
        <w:rPr>
          <w:rFonts w:ascii="Arial" w:hAnsi="Arial" w:cs="Arial"/>
          <w:sz w:val="24"/>
          <w:szCs w:val="24"/>
        </w:rPr>
        <w:t xml:space="preserve">     </w:t>
      </w:r>
    </w:p>
    <w:p w:rsidR="00336854" w:rsidRPr="00C11619" w:rsidRDefault="00336854" w:rsidP="00336854">
      <w:pPr>
        <w:spacing w:line="276" w:lineRule="auto"/>
        <w:jc w:val="both"/>
        <w:rPr>
          <w:rFonts w:ascii="Arial" w:hAnsi="Arial" w:cs="Arial"/>
          <w:sz w:val="24"/>
          <w:szCs w:val="24"/>
          <w:lang w:val="es-419"/>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No Posee</w:t>
      </w:r>
    </w:p>
    <w:p w:rsidR="00336854" w:rsidRDefault="00336854" w:rsidP="00336854">
      <w:pPr>
        <w:spacing w:line="276" w:lineRule="auto"/>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Aprobado en General y Particular por la unanimidad de los senadores de la comisión (5x0).</w:t>
      </w:r>
    </w:p>
    <w:p w:rsidR="00336854" w:rsidRPr="000D7674" w:rsidRDefault="00336854" w:rsidP="00336854">
      <w:pPr>
        <w:jc w:val="both"/>
        <w:rPr>
          <w:rFonts w:ascii="Arial" w:hAnsi="Arial" w:cs="Arial"/>
          <w:b/>
          <w:sz w:val="24"/>
          <w:szCs w:val="24"/>
          <w:lang w:val="es-419"/>
        </w:rPr>
      </w:pPr>
      <w:r>
        <w:rPr>
          <w:rFonts w:ascii="Arial" w:hAnsi="Arial" w:cs="Arial"/>
          <w:b/>
          <w:sz w:val="24"/>
          <w:szCs w:val="24"/>
        </w:rPr>
        <w:t>El Proyecto</w:t>
      </w:r>
    </w:p>
    <w:p w:rsidR="00336854" w:rsidRPr="005F78EE" w:rsidRDefault="00336854" w:rsidP="00336854">
      <w:pPr>
        <w:jc w:val="both"/>
        <w:rPr>
          <w:rFonts w:ascii="Arial" w:hAnsi="Arial" w:cs="Arial"/>
          <w:sz w:val="24"/>
          <w:szCs w:val="24"/>
        </w:rPr>
      </w:pPr>
      <w:r w:rsidRPr="00925829">
        <w:rPr>
          <w:rFonts w:ascii="Arial" w:hAnsi="Arial" w:cs="Arial"/>
          <w:sz w:val="24"/>
          <w:szCs w:val="24"/>
        </w:rPr>
        <w:t>E</w:t>
      </w:r>
      <w:r w:rsidRPr="00925829">
        <w:rPr>
          <w:rFonts w:ascii="Arial" w:hAnsi="Arial" w:cs="Arial"/>
          <w:sz w:val="24"/>
          <w:szCs w:val="24"/>
          <w:lang w:val="es-419"/>
        </w:rPr>
        <w:t>l proyecto</w:t>
      </w:r>
      <w:r w:rsidRPr="00925829">
        <w:rPr>
          <w:rFonts w:ascii="Arial" w:eastAsia="Times New Roman" w:hAnsi="Arial" w:cs="Arial"/>
          <w:color w:val="000000"/>
          <w:sz w:val="24"/>
          <w:szCs w:val="24"/>
          <w:lang w:val="es-ES_tradnl" w:eastAsia="es-ES_tradnl"/>
        </w:rPr>
        <w:t xml:space="preserve"> tiene como propósito</w:t>
      </w:r>
      <w:r>
        <w:rPr>
          <w:rFonts w:ascii="Arial" w:hAnsi="Arial" w:cs="Arial"/>
          <w:sz w:val="24"/>
          <w:szCs w:val="24"/>
        </w:rPr>
        <w:t xml:space="preserve"> que el Registro Nacional de Inscripciones de Armas, a cargo de la </w:t>
      </w:r>
      <w:r w:rsidRPr="004D05F9">
        <w:rPr>
          <w:rFonts w:ascii="Arial" w:hAnsi="Arial" w:cs="Arial"/>
          <w:sz w:val="24"/>
          <w:szCs w:val="24"/>
        </w:rPr>
        <w:t>Dirección General de Movilización Nacional</w:t>
      </w:r>
      <w:r>
        <w:rPr>
          <w:rFonts w:ascii="Arial" w:hAnsi="Arial" w:cs="Arial"/>
          <w:sz w:val="24"/>
          <w:szCs w:val="24"/>
        </w:rPr>
        <w:t>,</w:t>
      </w:r>
      <w:r w:rsidRPr="004D05F9">
        <w:rPr>
          <w:rFonts w:ascii="Arial" w:hAnsi="Arial" w:cs="Arial"/>
          <w:sz w:val="24"/>
          <w:szCs w:val="24"/>
        </w:rPr>
        <w:t xml:space="preserve"> </w:t>
      </w:r>
      <w:r>
        <w:rPr>
          <w:rFonts w:ascii="Arial" w:hAnsi="Arial" w:cs="Arial"/>
          <w:sz w:val="24"/>
          <w:szCs w:val="24"/>
        </w:rPr>
        <w:t>esté permanentemente actualizado acerca de la situación procesal penal de las personas que inscriben armas o están autorizadas para portarlas, de manera de garantizar que no hayan incurrido en la pérdida de algún requisito legal para ello.</w:t>
      </w:r>
    </w:p>
    <w:p w:rsidR="00336854" w:rsidRDefault="00336854" w:rsidP="00336854">
      <w:pPr>
        <w:jc w:val="both"/>
        <w:rPr>
          <w:rFonts w:ascii="Arial" w:hAnsi="Arial" w:cs="Arial"/>
          <w:b/>
          <w:sz w:val="24"/>
          <w:szCs w:val="24"/>
          <w:lang w:val="es-419"/>
        </w:rPr>
      </w:pPr>
      <w:r w:rsidRPr="00F54EF2">
        <w:rPr>
          <w:rFonts w:ascii="Arial" w:hAnsi="Arial" w:cs="Arial"/>
          <w:b/>
          <w:sz w:val="24"/>
          <w:szCs w:val="24"/>
        </w:rPr>
        <w:t>Implicaturas</w:t>
      </w:r>
    </w:p>
    <w:p w:rsidR="00336854" w:rsidRDefault="00336854" w:rsidP="00336854">
      <w:pPr>
        <w:spacing w:after="0" w:line="276" w:lineRule="auto"/>
        <w:jc w:val="both"/>
        <w:rPr>
          <w:rFonts w:ascii="Arial" w:eastAsia="Times New Roman" w:hAnsi="Arial" w:cs="Arial"/>
          <w:color w:val="000000"/>
          <w:sz w:val="24"/>
          <w:szCs w:val="24"/>
          <w:lang w:val="es-ES_tradnl" w:eastAsia="es-ES_tradnl"/>
        </w:rPr>
      </w:pPr>
      <w:r w:rsidRPr="00D241C5">
        <w:rPr>
          <w:rFonts w:ascii="Arial" w:eastAsia="Times New Roman" w:hAnsi="Arial" w:cs="Arial"/>
          <w:color w:val="000000"/>
          <w:sz w:val="24"/>
          <w:szCs w:val="24"/>
          <w:lang w:val="es-419" w:eastAsia="es-ES_tradnl"/>
        </w:rPr>
        <w:t xml:space="preserve">El proyecto </w:t>
      </w:r>
      <w:r w:rsidRPr="00D241C5">
        <w:rPr>
          <w:rFonts w:ascii="Arial" w:eastAsia="Times New Roman" w:hAnsi="Arial" w:cs="Arial"/>
          <w:color w:val="000000"/>
          <w:sz w:val="24"/>
          <w:szCs w:val="24"/>
          <w:lang w:val="es-ES_tradnl" w:eastAsia="es-ES_tradnl"/>
        </w:rPr>
        <w:t>consta de</w:t>
      </w:r>
      <w:r>
        <w:rPr>
          <w:rFonts w:ascii="Arial" w:eastAsia="Times New Roman" w:hAnsi="Arial" w:cs="Arial"/>
          <w:color w:val="000000"/>
          <w:sz w:val="24"/>
          <w:szCs w:val="24"/>
          <w:lang w:val="es-ES_tradnl" w:eastAsia="es-ES_tradnl"/>
        </w:rPr>
        <w:t xml:space="preserve"> un artículo único y modifica el artículo 9° y 11° de la ley 20.813 sobre el porte y tenencia ilegal de armas de fuego.</w:t>
      </w:r>
    </w:p>
    <w:p w:rsidR="00336854" w:rsidRDefault="00336854" w:rsidP="00336854">
      <w:pPr>
        <w:spacing w:after="0" w:line="276" w:lineRule="auto"/>
        <w:jc w:val="both"/>
        <w:rPr>
          <w:rFonts w:ascii="Arial" w:eastAsia="Times New Roman" w:hAnsi="Arial" w:cs="Arial"/>
          <w:color w:val="000000"/>
          <w:sz w:val="24"/>
          <w:szCs w:val="24"/>
          <w:lang w:val="es-ES_tradnl" w:eastAsia="es-ES_tradnl"/>
        </w:rPr>
      </w:pPr>
    </w:p>
    <w:p w:rsidR="00336854" w:rsidRDefault="00336854" w:rsidP="00336854">
      <w:pPr>
        <w:spacing w:after="0" w:line="276" w:lineRule="auto"/>
        <w:jc w:val="both"/>
        <w:rPr>
          <w:rFonts w:ascii="Arial" w:eastAsia="Times New Roman" w:hAnsi="Arial" w:cs="Arial"/>
          <w:color w:val="000000"/>
          <w:sz w:val="24"/>
          <w:szCs w:val="24"/>
          <w:lang w:val="es-ES_tradnl" w:eastAsia="es-ES_tradnl"/>
        </w:rPr>
      </w:pPr>
      <w:r>
        <w:rPr>
          <w:rFonts w:ascii="Arial" w:eastAsia="Times New Roman" w:hAnsi="Arial" w:cs="Arial"/>
          <w:color w:val="000000"/>
          <w:sz w:val="24"/>
          <w:szCs w:val="24"/>
          <w:lang w:val="es-ES_tradnl" w:eastAsia="es-ES_tradnl"/>
        </w:rPr>
        <w:t>Concretamente elimina los incisos segundos de ambos artículos que hacían restrictiva la interpretación del tipo penal, sin dar chance a los jueces a determinar si el porte o tenencia ilegal de armas era un peligro para la sociedad o se daba en virtud de otros elementos como caza o legítima defensa.</w:t>
      </w:r>
    </w:p>
    <w:p w:rsidR="00336854" w:rsidRDefault="00336854" w:rsidP="00336854">
      <w:pPr>
        <w:spacing w:after="0" w:line="276" w:lineRule="auto"/>
        <w:jc w:val="both"/>
        <w:rPr>
          <w:rFonts w:ascii="Arial" w:eastAsia="Times New Roman" w:hAnsi="Arial" w:cs="Arial"/>
          <w:color w:val="000000"/>
          <w:sz w:val="24"/>
          <w:szCs w:val="24"/>
          <w:lang w:val="es-ES_tradnl" w:eastAsia="es-ES_tradnl"/>
        </w:rPr>
      </w:pPr>
    </w:p>
    <w:p w:rsidR="00336854" w:rsidRDefault="00336854" w:rsidP="00336854">
      <w:pPr>
        <w:spacing w:after="0" w:line="276" w:lineRule="auto"/>
        <w:jc w:val="both"/>
        <w:rPr>
          <w:rFonts w:ascii="Arial" w:eastAsia="Times New Roman" w:hAnsi="Arial" w:cs="Arial"/>
          <w:color w:val="000000"/>
          <w:sz w:val="24"/>
          <w:szCs w:val="24"/>
          <w:lang w:val="es-ES_tradnl" w:eastAsia="es-ES_tradnl"/>
        </w:rPr>
      </w:pPr>
      <w:r>
        <w:rPr>
          <w:rFonts w:ascii="Arial" w:eastAsia="Times New Roman" w:hAnsi="Arial" w:cs="Arial"/>
          <w:color w:val="000000"/>
          <w:sz w:val="24"/>
          <w:szCs w:val="24"/>
          <w:lang w:val="es-ES_tradnl" w:eastAsia="es-ES_tradnl"/>
        </w:rPr>
        <w:t xml:space="preserve">Durante su discusión se mostraron variados ejemplos de lo anterior, en donde una persona en un sector rural podía ser condenado a pena de cárcel por el solo hecho </w:t>
      </w:r>
      <w:r>
        <w:rPr>
          <w:rFonts w:ascii="Arial" w:eastAsia="Times New Roman" w:hAnsi="Arial" w:cs="Arial"/>
          <w:color w:val="000000"/>
          <w:sz w:val="24"/>
          <w:szCs w:val="24"/>
          <w:lang w:val="es-ES_tradnl" w:eastAsia="es-ES_tradnl"/>
        </w:rPr>
        <w:lastRenderedPageBreak/>
        <w:t>de no poseer registro actualizado de su arma que utiliza para la caza. Del mismo modo, la restricción del sano juicio del juez se veía también en la práctica al momento de establecer o declarar una legítima defensa si el arma se encontraba desactualizada en sus registros.</w:t>
      </w:r>
    </w:p>
    <w:p w:rsidR="00336854" w:rsidRDefault="00336854" w:rsidP="00336854">
      <w:pPr>
        <w:spacing w:after="0" w:line="276" w:lineRule="auto"/>
        <w:jc w:val="both"/>
        <w:rPr>
          <w:rFonts w:ascii="Arial" w:eastAsia="Times New Roman" w:hAnsi="Arial" w:cs="Arial"/>
          <w:color w:val="000000"/>
          <w:sz w:val="24"/>
          <w:szCs w:val="24"/>
          <w:lang w:val="es-ES_tradnl" w:eastAsia="es-ES_tradnl"/>
        </w:rPr>
      </w:pPr>
    </w:p>
    <w:p w:rsidR="00336854" w:rsidRDefault="00336854" w:rsidP="00336854">
      <w:pPr>
        <w:spacing w:after="0" w:line="276" w:lineRule="auto"/>
        <w:jc w:val="both"/>
        <w:rPr>
          <w:rFonts w:ascii="Arial" w:eastAsia="Times New Roman" w:hAnsi="Arial" w:cs="Arial"/>
          <w:color w:val="000000"/>
          <w:sz w:val="24"/>
          <w:szCs w:val="24"/>
          <w:lang w:val="es-ES_tradnl" w:eastAsia="es-ES_tradnl"/>
        </w:rPr>
      </w:pPr>
      <w:r>
        <w:rPr>
          <w:rFonts w:ascii="Arial" w:eastAsia="Times New Roman" w:hAnsi="Arial" w:cs="Arial"/>
          <w:color w:val="000000"/>
          <w:sz w:val="24"/>
          <w:szCs w:val="24"/>
          <w:lang w:val="es-ES_tradnl" w:eastAsia="es-ES_tradnl"/>
        </w:rPr>
        <w:t xml:space="preserve">Esta </w:t>
      </w:r>
      <w:proofErr w:type="spellStart"/>
      <w:r>
        <w:rPr>
          <w:rFonts w:ascii="Arial" w:eastAsia="Times New Roman" w:hAnsi="Arial" w:cs="Arial"/>
          <w:color w:val="000000"/>
          <w:sz w:val="24"/>
          <w:szCs w:val="24"/>
          <w:lang w:val="es-ES_tradnl" w:eastAsia="es-ES_tradnl"/>
        </w:rPr>
        <w:t>rigidización</w:t>
      </w:r>
      <w:proofErr w:type="spellEnd"/>
      <w:r>
        <w:rPr>
          <w:rFonts w:ascii="Arial" w:eastAsia="Times New Roman" w:hAnsi="Arial" w:cs="Arial"/>
          <w:color w:val="000000"/>
          <w:sz w:val="24"/>
          <w:szCs w:val="24"/>
          <w:lang w:val="es-ES_tradnl" w:eastAsia="es-ES_tradnl"/>
        </w:rPr>
        <w:t xml:space="preserve"> establecía de los tenedores y portadores ilegales debían cumplir penas efectivas de cárcel a todo evento, sin aplicar medidas sustitutivas en virtud de las circunstancias. </w:t>
      </w:r>
    </w:p>
    <w:p w:rsidR="00336854" w:rsidRDefault="00336854" w:rsidP="00336854">
      <w:pPr>
        <w:spacing w:after="0" w:line="240" w:lineRule="auto"/>
        <w:jc w:val="both"/>
        <w:rPr>
          <w:rFonts w:ascii="Arial" w:eastAsia="Times New Roman" w:hAnsi="Arial" w:cs="Arial"/>
          <w:color w:val="000000"/>
          <w:sz w:val="24"/>
          <w:szCs w:val="24"/>
          <w:lang w:val="es-ES_tradnl" w:eastAsia="es-ES_tradnl"/>
        </w:rPr>
      </w:pPr>
    </w:p>
    <w:p w:rsidR="00336854" w:rsidRDefault="00336854" w:rsidP="00336854">
      <w:pPr>
        <w:spacing w:after="0" w:line="240" w:lineRule="auto"/>
        <w:jc w:val="both"/>
        <w:rPr>
          <w:rFonts w:ascii="Arial" w:hAnsi="Arial" w:cs="Arial"/>
          <w:b/>
          <w:sz w:val="24"/>
          <w:szCs w:val="24"/>
          <w:lang w:val="es-419"/>
        </w:rPr>
      </w:pPr>
      <w:r w:rsidRPr="002A4783">
        <w:rPr>
          <w:rFonts w:ascii="Arial" w:hAnsi="Arial" w:cs="Arial"/>
          <w:b/>
          <w:sz w:val="24"/>
          <w:szCs w:val="24"/>
        </w:rPr>
        <w:t>Conclusiones</w:t>
      </w:r>
    </w:p>
    <w:p w:rsidR="00336854" w:rsidRPr="0012488B" w:rsidRDefault="00336854" w:rsidP="00336854">
      <w:pPr>
        <w:spacing w:after="0" w:line="240" w:lineRule="auto"/>
        <w:jc w:val="both"/>
        <w:rPr>
          <w:rFonts w:ascii="Times New Roman" w:hAnsi="Times New Roman" w:cs="Times New Roman"/>
          <w:sz w:val="27"/>
          <w:szCs w:val="27"/>
          <w:lang w:val="es-419" w:eastAsia="es-ES_tradnl"/>
        </w:rPr>
      </w:pPr>
    </w:p>
    <w:p w:rsidR="00336854" w:rsidRDefault="00336854" w:rsidP="00336854">
      <w:pPr>
        <w:tabs>
          <w:tab w:val="left" w:pos="2835"/>
        </w:tabs>
        <w:spacing w:line="276" w:lineRule="auto"/>
        <w:jc w:val="both"/>
        <w:rPr>
          <w:rFonts w:ascii="Arial" w:hAnsi="Arial" w:cs="Arial"/>
          <w:sz w:val="24"/>
          <w:szCs w:val="24"/>
          <w:lang w:val="es-419"/>
        </w:rPr>
      </w:pPr>
      <w:r w:rsidRPr="005601FF">
        <w:rPr>
          <w:rFonts w:ascii="Arial" w:hAnsi="Arial" w:cs="Arial"/>
          <w:sz w:val="24"/>
          <w:szCs w:val="24"/>
        </w:rPr>
        <w:t xml:space="preserve">El proyecto </w:t>
      </w:r>
      <w:r>
        <w:rPr>
          <w:rFonts w:ascii="Arial" w:hAnsi="Arial" w:cs="Arial"/>
          <w:sz w:val="24"/>
          <w:szCs w:val="24"/>
          <w:lang w:val="es-419"/>
        </w:rPr>
        <w:t>en general es positivo, pues permite a los jueces ponderar si el contexto en cual el arma fue descubierta en tenencia o porte ilegal representaba efectivamente o no un peligro a la sociedad, permitiendo que una falta administrativa pueda ser exenta de estar en la cárcel por penas en proporción.</w:t>
      </w:r>
    </w:p>
    <w:p w:rsidR="00336854" w:rsidRPr="000B5BBF" w:rsidRDefault="00336854" w:rsidP="00336854">
      <w:pPr>
        <w:tabs>
          <w:tab w:val="left" w:pos="2835"/>
        </w:tabs>
        <w:spacing w:line="276" w:lineRule="auto"/>
        <w:jc w:val="both"/>
      </w:pPr>
      <w:r>
        <w:rPr>
          <w:rFonts w:ascii="Arial" w:hAnsi="Arial" w:cs="Arial"/>
          <w:sz w:val="24"/>
          <w:szCs w:val="24"/>
          <w:lang w:val="es-419"/>
        </w:rPr>
        <w:t>Se sugiere votar a favor en general y particular.</w:t>
      </w:r>
    </w:p>
    <w:p w:rsidR="00B95C20" w:rsidRPr="00A72F01" w:rsidRDefault="00B95C20" w:rsidP="00336854">
      <w:pPr>
        <w:jc w:val="center"/>
        <w:rPr>
          <w:rFonts w:ascii="Arial" w:hAnsi="Arial" w:cs="Arial"/>
          <w:sz w:val="24"/>
          <w:szCs w:val="24"/>
        </w:rPr>
      </w:pPr>
      <w:bookmarkStart w:id="0" w:name="_GoBack"/>
      <w:bookmarkEnd w:id="0"/>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C1" w:rsidRDefault="008554C1" w:rsidP="006D24C6">
      <w:pPr>
        <w:spacing w:after="0" w:line="240" w:lineRule="auto"/>
      </w:pPr>
      <w:r>
        <w:separator/>
      </w:r>
    </w:p>
  </w:endnote>
  <w:endnote w:type="continuationSeparator" w:id="0">
    <w:p w:rsidR="008554C1" w:rsidRDefault="008554C1"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C1" w:rsidRDefault="008554C1" w:rsidP="006D24C6">
      <w:pPr>
        <w:spacing w:after="0" w:line="240" w:lineRule="auto"/>
      </w:pPr>
      <w:r>
        <w:separator/>
      </w:r>
    </w:p>
  </w:footnote>
  <w:footnote w:type="continuationSeparator" w:id="0">
    <w:p w:rsidR="008554C1" w:rsidRDefault="008554C1"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 xml:space="preserve">Jacqueline Van </w:t>
    </w:r>
    <w:proofErr w:type="spellStart"/>
    <w:r w:rsidR="00D25567">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461D9"/>
    <w:rsid w:val="0022346D"/>
    <w:rsid w:val="00285D4B"/>
    <w:rsid w:val="00336854"/>
    <w:rsid w:val="0039746A"/>
    <w:rsid w:val="003D606D"/>
    <w:rsid w:val="00465667"/>
    <w:rsid w:val="004B58EF"/>
    <w:rsid w:val="00523564"/>
    <w:rsid w:val="00541DC9"/>
    <w:rsid w:val="00566225"/>
    <w:rsid w:val="006C3560"/>
    <w:rsid w:val="006D1FD9"/>
    <w:rsid w:val="006D24C6"/>
    <w:rsid w:val="007F6445"/>
    <w:rsid w:val="008554C1"/>
    <w:rsid w:val="00864495"/>
    <w:rsid w:val="008D1F4C"/>
    <w:rsid w:val="009024F3"/>
    <w:rsid w:val="00923B03"/>
    <w:rsid w:val="00942F02"/>
    <w:rsid w:val="00947E73"/>
    <w:rsid w:val="009B0501"/>
    <w:rsid w:val="009F5BB1"/>
    <w:rsid w:val="00A0317B"/>
    <w:rsid w:val="00A72F01"/>
    <w:rsid w:val="00AF12E8"/>
    <w:rsid w:val="00B43A63"/>
    <w:rsid w:val="00B55550"/>
    <w:rsid w:val="00B95C20"/>
    <w:rsid w:val="00C31940"/>
    <w:rsid w:val="00C442D8"/>
    <w:rsid w:val="00C50218"/>
    <w:rsid w:val="00C70496"/>
    <w:rsid w:val="00CB0832"/>
    <w:rsid w:val="00D167DC"/>
    <w:rsid w:val="00D25567"/>
    <w:rsid w:val="00D60D2D"/>
    <w:rsid w:val="00DD597A"/>
    <w:rsid w:val="00E50334"/>
    <w:rsid w:val="00E64B8A"/>
    <w:rsid w:val="00E95B1B"/>
    <w:rsid w:val="00ED6915"/>
    <w:rsid w:val="00F375BE"/>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1">
    <w:name w:val="p1"/>
    <w:basedOn w:val="Normal"/>
    <w:rsid w:val="00336854"/>
    <w:pPr>
      <w:spacing w:after="30" w:line="240" w:lineRule="auto"/>
      <w:ind w:firstLine="630"/>
      <w:jc w:val="both"/>
    </w:pPr>
    <w:rPr>
      <w:rFonts w:ascii="Arial" w:hAnsi="Arial" w:cs="Arial"/>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9E39-2285-432A-8606-E57EDC0D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2018-08-30T13:40:00Z</dcterms:created>
  <dcterms:modified xsi:type="dcterms:W3CDTF">2018-08-30T13:40:00Z</dcterms:modified>
</cp:coreProperties>
</file>