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 w:line="240" w:lineRule="auto"/>
        <w:jc w:val="center"/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rtl w:val="0"/>
          <w:lang w:val="pt-PT"/>
        </w:rPr>
        <w:t>O 2018.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PARTIDA: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MINISTERIO DEL TRABAJO Y PREVISI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 SOCIAL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Superintendencia de Seguridad Social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Partida 15, capitulo 06,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Para agregar  una Glosa nueva del siguiente tenor: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tabs>
          <w:tab w:val="left" w:pos="8338"/>
        </w:tabs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La Superintendencia de Seguridad Social,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al  30 de junio de 2018 y 31 de diciembre de 2018,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Salud del Senado y de la C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mara de Diputados,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Trabajo del Senado y de la C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mara de Diputados   y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Especial Mixta de Presupuesto sobre, las medidas adoptadas, en el proceso de fiscalizaci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 por parte de la Unidad de Control de Licencias M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dicas, con el objeto de velar por la observancia de los est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ndares m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nimos, en materia de procedimiento de investigaci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y  prueba respecto  de los profesionales fiscalizados..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  <w:br w:type="page"/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O 2018.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PARTIDA: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MINISTERIO DEL TRABAJO Y PREVISI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 SOCIAL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Superintendencia de Seguridad Social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Partida 15, capitulo 06,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tabs>
          <w:tab w:val="left" w:pos="8338"/>
        </w:tabs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Se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semestralmente, treinta d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as despu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 del t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rmino del semestre respectivo,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Salud del Senado,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Salud de la C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mara de Diputados,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Trabajo del Senado,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Trabajo de la C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mara  y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Especial Mixta de Presupuesto sobre la cantidad  de licencias rechazadas por accidentes  del trabajo, detallando tipo de accidentes, caracter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sticas de las lesiones, gravedad, aseguradora de la Ley 16.744  que resolvi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rechazo y  sector econ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mico en que se desempe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 el trabajador accidentado.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BLICA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  <w:br w:type="page"/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O 2018.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 xml:space="preserve">PARTIDA: 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MINISTERIO DEL TRABAJO Y PREVISI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N SOCIAL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Superintendencia de Seguridad Social</w:t>
      </w:r>
    </w:p>
    <w:p>
      <w:pPr>
        <w:pStyle w:val="Por omisión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Partida 15, capitulo 06,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Para agregar  una Glosa nueva del siguiente tenor: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tabs>
          <w:tab w:val="left" w:pos="8338"/>
        </w:tabs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“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La Superintendencia de Seguridad Social, 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trimestralmente, treinta d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as despu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 del t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rmino de cada trimestre respectivo,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Salud y Trabajo del Senado,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de Salud y Trabajo de la C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mara de Diputados y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 Especial Mixta de Presupuesto sobre el total de licencias m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dicas por salud mental, emitidas, aprobadas y rechazadas, el sistema de salud p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blico o privado  correspondiente , promedio  de d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as de licencias, en que sector econ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mico se desempe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a los trabajadores afectados  y dem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 elementos que permitan un diagn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stico de la situaci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n.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000000"/>
          <w:rtl w:val="0"/>
          <w:lang w:val="es-ES_tradnl"/>
        </w:rPr>
        <w:t>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</w:rPr>
        <w:br w:type="page"/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 OBRAS 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BLICAS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DIRECCI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N GENERAL DE OBRAS 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BLICAS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DIRECCI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N DE VIALIDAD (01, 02)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12;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02; Programa 04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en el Subt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31 del siguiente tenor: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La Direcci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Vialidad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trimestralmente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Mixta de Presupuesto y de Obras P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blicas del Senado, acerca del avance en el cronograma de ejecuci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las obras de construcci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del Puente Industrial sobre el 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 B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 B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o, asimismo, las medidas y acciones consideradas para que dicha construcci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cumpla con la normativa ambiental y no se produzcan alteraciones significativas a los sistema de vida, costumbres de grupos humanos y sistemas productivos de peque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os y medianos productores.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lang w:val="es-ES_tradnl"/>
        </w:rPr>
        <w:br w:type="page"/>
      </w:r>
    </w:p>
    <w:p>
      <w:pPr>
        <w:pStyle w:val="Cuerpo"/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 OBRAS 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BLICAS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DIRECCI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N GENERAL DE OBRAS 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BLICAS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DIRECCI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N DE VIALIDAD (01, 02)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12;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02; Programa 04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en el Subt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31 del siguiente tenor: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La Direcci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Vialidad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trimestralmente a la Comisi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Mixta de Presupuesto y de Obras P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blicas del Senado, acerca de las medidas a adoptar en la autopista del Itata de la Regi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del B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 B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o, con el objeto de dotarla de las barreras de seguridad acordes al est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ndar reglamentario para las autopistas en los tramos en que aquella carece de estas.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lang w:val="es-ES_tradnl"/>
        </w:rPr>
        <w:br w:type="page"/>
      </w:r>
    </w:p>
    <w:p>
      <w:pPr>
        <w:pStyle w:val="Cuerpo"/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DEL MEDIO AMBIENTE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SUBSECRETAR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 DEL MEDIO AMBIENTE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SUBSECRETAR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 DEL MEDIO AMBIENTE (01, 02, 03, 04)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25;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01;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del siguiente tenor: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El Ministerio de Medio Ambiente crear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un equipo t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cnico de expertos que implemente las acciones e iniciativas que sean necesarias para reducir los efectos del aumento de temperatura o anticiparse al impacto del cambio clim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tico.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p>
      <w:pPr>
        <w:pStyle w:val="Cuerpo"/>
        <w:jc w:val="center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lang w:val="es-ES_tradnl"/>
        </w:rPr>
        <w:br w:type="page"/>
      </w:r>
    </w:p>
    <w:p>
      <w:pPr>
        <w:pStyle w:val="Cuerpo"/>
        <w:jc w:val="center"/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 DESARROLLO SOCIAL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 (01)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21;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08;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del siguiente tenor: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El Servicio Nacional del Adulto Mayor encargar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un estudio que eval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e la viabilidad financiera, econ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mica, pol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tica y social respecto de la creaci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un Ministerio del Adulto Mayor que absorba las facultades, deberes y obligaciones de este Servicio.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</w:rPr>
        <w:br w:type="page"/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 DESARROLLO SOCIAL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 (01)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21;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08;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del siguiente tenor: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El Servicio Nacional del Adulto Mayor velar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por el aumento de Establecimientos de Larga Estad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a (ELEAM), a fin de cubrir la demanda de adultos mayores en situaci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vulnerabilidad social que por motivos biol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gicos, psicol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gicos o sociales, requieren de un medio ambiente protegido y cuidados diferenciados para la mantenci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su salud y funcionalidad.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p>
      <w:pPr>
        <w:pStyle w:val="Cuerpo"/>
      </w:pPr>
      <w:r>
        <w:rPr>
          <w:rStyle w:val="Ninguno"/>
          <w:rFonts w:ascii="Cambria" w:cs="Cambria" w:hAnsi="Cambria" w:eastAsia="Cambria"/>
          <w:b w:val="1"/>
          <w:bCs w:val="1"/>
          <w:sz w:val="28"/>
          <w:szCs w:val="28"/>
          <w:u w:color="222222"/>
        </w:rPr>
        <w:br w:type="page"/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INDICACIONES PROYECTO DE LEY DE PRESUPUESTO A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O 2018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MINISTERIO DE DESARROLLO SOCIAL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SERVICIO NACIONAL DEL ADULTO MAYOR (01)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Partida 21; Cap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tulo 08; Programa 01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Agr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gase una glosa nueva del siguiente tenor: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El Servicio Nacional del Adulto Mayor informar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trimestralmente sobre la brecha entre el n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mero de Establecimientos de Larga Estad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de-DE"/>
        </w:rPr>
        <w:t>a (ELEAM)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 xml:space="preserve"> que existen y los usuarios potenciales de este tipo de instituciones en situaci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 de dependencia f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sica, ps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quica y postraci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i w:val="1"/>
          <w:iCs w:val="1"/>
          <w:color w:val="000000"/>
          <w:sz w:val="28"/>
          <w:szCs w:val="28"/>
          <w:u w:color="222222"/>
          <w:rtl w:val="0"/>
          <w:lang w:val="es-ES_tradnl"/>
        </w:rPr>
        <w:t>n.</w:t>
      </w: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both"/>
        <w:rPr>
          <w:rStyle w:val="Ninguno"/>
          <w:rFonts w:ascii="Cambria" w:cs="Cambria" w:hAnsi="Cambria" w:eastAsia="Cambria"/>
          <w:color w:val="000000"/>
          <w:sz w:val="28"/>
          <w:szCs w:val="28"/>
          <w:u w:color="222222"/>
        </w:rPr>
      </w:pP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ALEJANDRO NAVARRO BRAIN</w:t>
      </w:r>
    </w:p>
    <w:p>
      <w:pPr>
        <w:pStyle w:val="Cuerpo A"/>
        <w:jc w:val="center"/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</w:rPr>
      </w:pP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SENADOR DE LA REP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Ú</w:t>
      </w:r>
      <w:r>
        <w:rPr>
          <w:rStyle w:val="Ninguno"/>
          <w:rFonts w:ascii="Cambria" w:cs="Cambria" w:hAnsi="Cambria" w:eastAsia="Cambria"/>
          <w:b w:val="1"/>
          <w:bCs w:val="1"/>
          <w:color w:val="000000"/>
          <w:sz w:val="28"/>
          <w:szCs w:val="28"/>
          <w:u w:color="222222"/>
          <w:rtl w:val="0"/>
          <w:lang w:val="es-ES_tradnl"/>
        </w:rPr>
        <w:t>BLICA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inline distT="0" distB="0" distL="0" distR="0">
          <wp:extent cx="1104900" cy="8858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