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949D1" w:rsidRPr="0092336F" w:rsidRDefault="00F949D1" w:rsidP="00F949D1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 xml:space="preserve"> asociada al subtítulo 21, Gastos en Personal.</w:t>
      </w:r>
    </w:p>
    <w:p w:rsidR="00F949D1" w:rsidRDefault="00F949D1" w:rsidP="00F949D1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 </w:t>
      </w:r>
    </w:p>
    <w:p w:rsidR="00F949D1" w:rsidRDefault="00F949D1" w:rsidP="00F949D1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“Se informará trimestralmente, treinta días después del término del trimestre respectivo, a la Comisión Especial Mixta de Presupuestos, de los gastos asociados a remuneraciones de trabajadores, indicando la calidad jurídica de los contratos y los porcentajes de tipos de contratación, en relación con el total del personal y diferenciado según género”. </w:t>
      </w:r>
    </w:p>
    <w:p w:rsid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F949D1" w:rsidRPr="0058691E" w:rsidRDefault="00F949D1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06A2C" w:rsidRPr="0058691E" w:rsidRDefault="0058691E" w:rsidP="00606A2C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949D1" w:rsidRPr="0092336F" w:rsidRDefault="00F949D1" w:rsidP="00F949D1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>asociada al subtítulo 08, Otros Ingresos Corrientes.</w:t>
      </w:r>
    </w:p>
    <w:p w:rsidR="00F949D1" w:rsidRPr="00AD57B3" w:rsidRDefault="00F949D1" w:rsidP="00F949D1">
      <w:pPr>
        <w:pStyle w:val="Cuerpo"/>
        <w:rPr>
          <w:rFonts w:ascii="Cambria" w:hAnsi="Cambria"/>
          <w:b/>
          <w:bCs/>
          <w:color w:val="auto"/>
          <w:sz w:val="28"/>
          <w:szCs w:val="28"/>
          <w:lang w:val="es-CL"/>
        </w:rPr>
      </w:pPr>
    </w:p>
    <w:p w:rsidR="00F949D1" w:rsidRPr="00AD57B3" w:rsidRDefault="00F949D1" w:rsidP="00F949D1">
      <w:pPr>
        <w:pStyle w:val="Cuerpo"/>
        <w:tabs>
          <w:tab w:val="left" w:pos="9014"/>
        </w:tabs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>“Se informará semestralmente, treinta días después del término del semestre respectivo, a la Comisión Especial Mixta de Presupuestos, de la cantidad de  licencias médicas que pudieran ser consideradas como enfermedades laborales tales como el estrés, la fatiga, la tendinitis, las dorsalgias y lumbalgias”.</w:t>
      </w:r>
    </w:p>
    <w:p w:rsid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949D1" w:rsidRPr="0058691E" w:rsidRDefault="00F949D1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06A2C" w:rsidRPr="0058691E" w:rsidRDefault="0058691E" w:rsidP="00606A2C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949D1" w:rsidRPr="0092336F" w:rsidRDefault="00F949D1" w:rsidP="00F949D1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>asociada al subtítulo 08, Otros Ingresos Corrientes.</w:t>
      </w:r>
    </w:p>
    <w:p w:rsidR="00F949D1" w:rsidRDefault="00F949D1" w:rsidP="00F949D1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</w:p>
    <w:p w:rsidR="00F949D1" w:rsidRPr="00AD57B3" w:rsidRDefault="00F949D1" w:rsidP="00F949D1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 “Se informará semestralmente, treinta días después del término del semestre respectivo, a la Comisión de Salud del Senado, a la Comisión de Salud de la Cámara de Diputados y a la Comisión Especial Mixta de Presupuesto sobre las recuperaciones y/o reembolsos por licencias médicas relativas a problemas de salud mental, detallando promedios de días de ausentismo, número de funcionarios beneficiarios, diferenciado según género y demás elementos que permitan un diagnóstico de la situación.”.</w:t>
      </w:r>
    </w:p>
    <w:p w:rsid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949D1" w:rsidRPr="0058691E" w:rsidRDefault="00F949D1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06A2C" w:rsidRPr="0058691E" w:rsidRDefault="0058691E" w:rsidP="00606A2C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58691E" w:rsidRPr="0058691E">
        <w:rPr>
          <w:rFonts w:ascii="Cambria" w:hAnsi="Cambria"/>
          <w:b/>
          <w:bCs/>
          <w:sz w:val="28"/>
          <w:szCs w:val="28"/>
        </w:rPr>
        <w:t>asociada al subtítulo 21, Gastos en Personal.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>“Se informará trimestralmente, treinta días después del término del trimestre respectivo, a la Comisión Especial Mixta de Presupuestos, de la cantidad de trabajadoras mujeres que hacen uso del permiso de Lactancia y de los trabajadores hombres que hacen uso del  Permiso parental post natal.”.</w:t>
      </w: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06A2C" w:rsidRPr="0058691E" w:rsidRDefault="0058691E" w:rsidP="00606A2C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Para agregar nueva Glosa común a toda la partida</w:t>
      </w:r>
      <w:proofErr w:type="gramStart"/>
      <w:r>
        <w:rPr>
          <w:rFonts w:ascii="Cambria" w:hAnsi="Cambria"/>
          <w:b/>
          <w:bCs/>
          <w:sz w:val="28"/>
          <w:szCs w:val="28"/>
        </w:rPr>
        <w:t>,</w:t>
      </w:r>
      <w:r w:rsidR="0058691E" w:rsidRPr="0058691E">
        <w:rPr>
          <w:rFonts w:ascii="Cambria" w:hAnsi="Cambria"/>
          <w:b/>
          <w:bCs/>
          <w:sz w:val="28"/>
          <w:szCs w:val="28"/>
        </w:rPr>
        <w:t>,</w:t>
      </w:r>
      <w:proofErr w:type="gramEnd"/>
      <w:r w:rsidR="0058691E" w:rsidRPr="0058691E">
        <w:rPr>
          <w:rFonts w:ascii="Cambria" w:hAnsi="Cambria"/>
          <w:b/>
          <w:bCs/>
          <w:sz w:val="28"/>
          <w:szCs w:val="28"/>
        </w:rPr>
        <w:t xml:space="preserve"> asociada al subtítulo 22, Bienes y Servicios de Consumo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>“Se informará trimestralmente, treinta días después del término del trimestre respectivo, a la Comisión Especial Mixta de Presupuestos, acerca de los gastos realizados en capacitaciones en temas de género, en derechos y lenguas de los pueblos indígenas, en lengua de señas, en atención a personas con discapacidad visual y motriz, en derechos de la niñez y adolescencia, en atención de adultos mayores, inmigrantes y diversidad sexual y se adjuntará un informe con los resultados y logros obtenidos.”.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 xml:space="preserve"> </w:t>
      </w: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06A2C" w:rsidRPr="0058691E" w:rsidRDefault="0058691E" w:rsidP="00606A2C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606A2C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Para agregar nueva Glosa común a toda la partida</w:t>
      </w:r>
      <w:proofErr w:type="gramStart"/>
      <w:r>
        <w:rPr>
          <w:rFonts w:ascii="Cambria" w:hAnsi="Cambria"/>
          <w:b/>
          <w:bCs/>
          <w:sz w:val="28"/>
          <w:szCs w:val="28"/>
        </w:rPr>
        <w:t>,</w:t>
      </w:r>
      <w:r w:rsidR="0058691E" w:rsidRPr="0058691E">
        <w:rPr>
          <w:rFonts w:ascii="Cambria" w:hAnsi="Cambria"/>
          <w:b/>
          <w:bCs/>
          <w:sz w:val="28"/>
          <w:szCs w:val="28"/>
        </w:rPr>
        <w:t>,</w:t>
      </w:r>
      <w:proofErr w:type="gramEnd"/>
      <w:r w:rsidR="0058691E" w:rsidRPr="0058691E">
        <w:rPr>
          <w:rFonts w:ascii="Cambria" w:hAnsi="Cambria"/>
          <w:b/>
          <w:bCs/>
          <w:sz w:val="28"/>
          <w:szCs w:val="28"/>
        </w:rPr>
        <w:t xml:space="preserve"> asociada al subtítulo 22, Bienes y Servicios de Consumo, del siguiente tenor: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 xml:space="preserve"> “Con todo, estos recursos no serán destinados a la adquisición de licores, vinos, cervez</w:t>
      </w:r>
      <w:r w:rsidR="00FC1AFD">
        <w:rPr>
          <w:rFonts w:ascii="Cambria" w:hAnsi="Cambria"/>
          <w:bCs/>
          <w:i/>
          <w:sz w:val="28"/>
          <w:szCs w:val="28"/>
        </w:rPr>
        <w:t>as y otros similares</w:t>
      </w:r>
      <w:r w:rsidRPr="0058691E">
        <w:rPr>
          <w:rFonts w:ascii="Cambria" w:hAnsi="Cambria"/>
          <w:bCs/>
          <w:i/>
          <w:sz w:val="28"/>
          <w:szCs w:val="28"/>
        </w:rPr>
        <w:t>, salvo aquellas que sean necesarias para cumplir funciones protocolares o diplomáticas.”.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DD13C6" w:rsidRPr="0058691E" w:rsidRDefault="0058691E" w:rsidP="00DD13C6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Para agregar nueva Glosa común a toda la partida</w:t>
      </w:r>
      <w:proofErr w:type="gramStart"/>
      <w:r>
        <w:rPr>
          <w:rFonts w:ascii="Cambria" w:hAnsi="Cambria"/>
          <w:b/>
          <w:bCs/>
          <w:sz w:val="28"/>
          <w:szCs w:val="28"/>
        </w:rPr>
        <w:t>,</w:t>
      </w:r>
      <w:r w:rsidR="0058691E" w:rsidRPr="0058691E">
        <w:rPr>
          <w:rFonts w:ascii="Cambria" w:hAnsi="Cambria"/>
          <w:b/>
          <w:bCs/>
          <w:sz w:val="28"/>
          <w:szCs w:val="28"/>
        </w:rPr>
        <w:t>,</w:t>
      </w:r>
      <w:proofErr w:type="gramEnd"/>
      <w:r w:rsidR="0058691E" w:rsidRPr="0058691E">
        <w:rPr>
          <w:rFonts w:ascii="Cambria" w:hAnsi="Cambria"/>
          <w:b/>
          <w:bCs/>
          <w:sz w:val="28"/>
          <w:szCs w:val="28"/>
        </w:rPr>
        <w:t xml:space="preserve"> asociada al subtítulo 22, Bienes y Servicios de Consumo, del siguiente tenor: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6C3086" w:rsidP="006C3086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 xml:space="preserve">“Con todo, estos recursos no serán destinados a la adquisición de celulares para funcionarios que tengan cargos </w:t>
      </w:r>
      <w:r>
        <w:rPr>
          <w:rFonts w:ascii="Cambria" w:hAnsi="Cambria"/>
          <w:bCs/>
          <w:i/>
          <w:sz w:val="28"/>
          <w:szCs w:val="28"/>
        </w:rPr>
        <w:t xml:space="preserve">de Director o Jefe de Servicio o semejantes en la Escala Única de Sueldos, tampoco se podrá destinar </w:t>
      </w:r>
      <w:r w:rsidRPr="0058691E">
        <w:rPr>
          <w:rFonts w:ascii="Cambria" w:hAnsi="Cambria"/>
          <w:bCs/>
          <w:i/>
          <w:sz w:val="28"/>
          <w:szCs w:val="28"/>
        </w:rPr>
        <w:t xml:space="preserve"> al arriendo de bienes raíces para estacionamientos de vehículos particulares de</w:t>
      </w:r>
      <w:r>
        <w:rPr>
          <w:rFonts w:ascii="Cambria" w:hAnsi="Cambria"/>
          <w:bCs/>
          <w:i/>
          <w:sz w:val="28"/>
          <w:szCs w:val="28"/>
        </w:rPr>
        <w:t xml:space="preserve"> funcionarios de la </w:t>
      </w:r>
      <w:r w:rsidRPr="00D834C2">
        <w:rPr>
          <w:rFonts w:ascii="Cambria" w:hAnsi="Cambria"/>
          <w:bCs/>
          <w:i/>
          <w:sz w:val="28"/>
          <w:szCs w:val="28"/>
        </w:rPr>
        <w:t>Contraloría General De La República</w:t>
      </w:r>
      <w:r w:rsidRPr="0058691E">
        <w:rPr>
          <w:rFonts w:ascii="Cambria" w:hAnsi="Cambria"/>
          <w:bCs/>
          <w:i/>
          <w:sz w:val="28"/>
          <w:szCs w:val="28"/>
        </w:rPr>
        <w:t>.”.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DD13C6" w:rsidRPr="0058691E" w:rsidRDefault="0058691E" w:rsidP="00DD13C6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58691E" w:rsidRPr="0058691E">
        <w:rPr>
          <w:rFonts w:ascii="Cambria" w:hAnsi="Cambria"/>
          <w:b/>
          <w:bCs/>
          <w:sz w:val="28"/>
          <w:szCs w:val="28"/>
        </w:rPr>
        <w:t>asociada al subtítulo 29, Adquisición de Activos no Financieros, del siguiente tenor: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>“Para la adquisición de programas informáticos o el pago de licencias de programas, deberán privilegiarse las recomendaciones del Informe “Software Libre en el Estado” y “Guía de migración de aplicaciones de escritorio y servidores a aplicaciones de software libre para Organismos Públicos chilenos.”.</w:t>
      </w: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DD13C6" w:rsidRPr="0058691E" w:rsidRDefault="0058691E" w:rsidP="00DD13C6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PARTIDA: 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="00DD13C6"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0951B1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58691E" w:rsidRPr="0058691E">
        <w:rPr>
          <w:rFonts w:ascii="Cambria" w:hAnsi="Cambria"/>
          <w:b/>
          <w:bCs/>
          <w:sz w:val="28"/>
          <w:szCs w:val="28"/>
        </w:rPr>
        <w:t>asociada al subtítulo 29, Adquisición de Activos no Financieros, del siguiente tenor: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eastAsia="Arial" w:hAnsi="Cambria" w:cs="Arial"/>
          <w:bCs/>
          <w:i/>
          <w:sz w:val="28"/>
          <w:szCs w:val="28"/>
        </w:rPr>
      </w:pPr>
      <w:r w:rsidRPr="00476B48">
        <w:rPr>
          <w:rFonts w:ascii="Cambria" w:eastAsia="Arial" w:hAnsi="Cambria" w:cs="Arial"/>
          <w:bCs/>
          <w:i/>
          <w:sz w:val="28"/>
          <w:szCs w:val="28"/>
        </w:rPr>
        <w:t xml:space="preserve">“Se </w:t>
      </w:r>
      <w:r w:rsidRPr="00476B48">
        <w:rPr>
          <w:rStyle w:val="Ninguno"/>
          <w:rFonts w:ascii="Cambria" w:hAnsi="Cambria"/>
          <w:i/>
          <w:sz w:val="28"/>
          <w:szCs w:val="28"/>
        </w:rPr>
        <w:t>informará trimestralmente, treinta días después del término del trimestre respectivo,</w:t>
      </w:r>
      <w:r w:rsidRPr="00476B48">
        <w:rPr>
          <w:rFonts w:ascii="Cambria" w:eastAsia="Arial" w:hAnsi="Cambria" w:cs="Arial"/>
          <w:bCs/>
          <w:i/>
          <w:sz w:val="28"/>
          <w:szCs w:val="28"/>
        </w:rPr>
        <w:t xml:space="preserve"> detalladamente el monto de los recursos destinados a la adquisición de programas informáticos y la cantidad de equipos informáticos que los programas</w:t>
      </w:r>
      <w:r w:rsidRPr="0058691E">
        <w:rPr>
          <w:rFonts w:ascii="Cambria" w:eastAsia="Arial" w:hAnsi="Cambria" w:cs="Arial"/>
          <w:bCs/>
          <w:i/>
          <w:sz w:val="28"/>
          <w:szCs w:val="28"/>
        </w:rPr>
        <w:t xml:space="preserve"> nutrirán, se informará también de los proveedores de los programas indicando los montos que se adjudican en cada caso. Se adjuntará un informe con los resultados y logros obtenidos con esta  adquisición.”.</w:t>
      </w: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DD13C6" w:rsidRPr="0058691E" w:rsidRDefault="00DD13C6" w:rsidP="00DD13C6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Partida 0</w:t>
      </w:r>
      <w:r w:rsidR="00981E5A">
        <w:rPr>
          <w:rFonts w:ascii="Cambria" w:hAnsi="Cambria"/>
          <w:b/>
          <w:bCs/>
          <w:sz w:val="28"/>
          <w:szCs w:val="28"/>
        </w:rPr>
        <w:t>4</w:t>
      </w:r>
      <w:r w:rsidRPr="0058691E">
        <w:rPr>
          <w:rFonts w:ascii="Cambria" w:hAnsi="Cambria"/>
          <w:b/>
          <w:bCs/>
          <w:sz w:val="28"/>
          <w:szCs w:val="28"/>
        </w:rPr>
        <w:t>, Capítulo 01, Programa 01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Agrégase la siguiente Glosa nueva relacionada al Subtítulo 09, Ítem 01: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58691E">
        <w:rPr>
          <w:rFonts w:ascii="Cambria" w:hAnsi="Cambria"/>
          <w:bCs/>
          <w:i/>
          <w:sz w:val="28"/>
          <w:szCs w:val="28"/>
        </w:rPr>
        <w:t>“Con cargo a estos recursos se podrán financiar estu</w:t>
      </w:r>
      <w:r w:rsidR="00DD13C6">
        <w:rPr>
          <w:rFonts w:ascii="Cambria" w:hAnsi="Cambria"/>
          <w:bCs/>
          <w:i/>
          <w:sz w:val="28"/>
          <w:szCs w:val="28"/>
        </w:rPr>
        <w:t xml:space="preserve">dios sobre paridad de género en Contraloría, </w:t>
      </w:r>
      <w:r w:rsidRPr="0058691E">
        <w:rPr>
          <w:rFonts w:ascii="Cambria" w:hAnsi="Cambria"/>
          <w:bCs/>
          <w:i/>
          <w:sz w:val="28"/>
          <w:szCs w:val="28"/>
        </w:rPr>
        <w:t>el estado de verificación de la paridad en la actualidad y recomendac</w:t>
      </w:r>
      <w:r w:rsidR="00B323EE">
        <w:rPr>
          <w:rFonts w:ascii="Cambria" w:hAnsi="Cambria"/>
          <w:bCs/>
          <w:i/>
          <w:sz w:val="28"/>
          <w:szCs w:val="28"/>
        </w:rPr>
        <w:t>iones para generar mecanismos de</w:t>
      </w:r>
      <w:r w:rsidRPr="0058691E">
        <w:rPr>
          <w:rFonts w:ascii="Cambria" w:hAnsi="Cambria"/>
          <w:bCs/>
          <w:i/>
          <w:sz w:val="28"/>
          <w:szCs w:val="28"/>
        </w:rPr>
        <w:t xml:space="preserve"> promoción. Se informará semestralmente a la Comisión Especial Mixta de Presupuestos acerca de los estudios realizados con cargo a estos recursos, treinta días después del término del semestre respectivo."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 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ALEJANDRO NAVARRO BRAIN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>SENADOR DE LA REPÚBLICA</w:t>
      </w:r>
    </w:p>
    <w:p w:rsidR="0058691E" w:rsidRPr="0058691E" w:rsidRDefault="0058691E" w:rsidP="0058691E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58691E">
        <w:rPr>
          <w:rFonts w:ascii="Cambria" w:hAnsi="Cambria"/>
          <w:b/>
          <w:bCs/>
          <w:sz w:val="28"/>
          <w:szCs w:val="28"/>
        </w:rPr>
        <w:br w:type="page"/>
      </w:r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es-ES_tradnl"/>
        </w:rPr>
        <w:lastRenderedPageBreak/>
        <w:t>INDICACIONES PROYECTO DE LEY DE PRESUPUESTOS AÑ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O 201</w:t>
      </w:r>
      <w:r w:rsidR="00981E5A">
        <w:rPr>
          <w:rFonts w:ascii="Cambria" w:hAnsi="Cambria"/>
          <w:b/>
          <w:bCs/>
          <w:color w:val="222222"/>
          <w:sz w:val="28"/>
          <w:szCs w:val="28"/>
          <w:lang w:val="es-ES_tradnl"/>
        </w:rPr>
        <w:t>8</w:t>
      </w:r>
    </w:p>
    <w:p w:rsidR="0058691E" w:rsidRPr="0058691E" w:rsidRDefault="0058691E" w:rsidP="0058691E">
      <w:pPr>
        <w:pStyle w:val="Poromisin"/>
        <w:jc w:val="center"/>
        <w:rPr>
          <w:rStyle w:val="Ninguno"/>
          <w:rFonts w:ascii="Cambria" w:eastAsia="Arial" w:hAnsi="Cambria" w:cs="Arial"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CONTRALOR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e-DE"/>
        </w:rPr>
        <w:t>A GENERAL DE LA REP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Ú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da-DK"/>
        </w:rPr>
        <w:t>BLICA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Poromisin"/>
        <w:jc w:val="center"/>
        <w:rPr>
          <w:rStyle w:val="Ninguno"/>
          <w:rFonts w:ascii="Cambria" w:eastAsia="Arial" w:hAnsi="Cambria" w:cs="Arial"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</w:rPr>
        <w:t> </w:t>
      </w:r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pt-PT"/>
        </w:rPr>
        <w:t>Partida 04, Cap</w:t>
      </w:r>
      <w:r w:rsidRPr="0058691E">
        <w:rPr>
          <w:rFonts w:ascii="Cambria" w:hAnsi="Cambria"/>
          <w:b/>
          <w:bCs/>
          <w:color w:val="222222"/>
          <w:sz w:val="28"/>
          <w:szCs w:val="28"/>
        </w:rPr>
        <w:t>í</w:t>
      </w:r>
      <w:r w:rsidRPr="0058691E">
        <w:rPr>
          <w:rFonts w:ascii="Cambria" w:hAnsi="Cambria"/>
          <w:b/>
          <w:bCs/>
          <w:color w:val="222222"/>
          <w:sz w:val="28"/>
          <w:szCs w:val="28"/>
          <w:lang w:val="pt-PT"/>
        </w:rPr>
        <w:t xml:space="preserve">tulo 01, Programa </w:t>
      </w:r>
      <w:proofErr w:type="gramStart"/>
      <w:r w:rsidRPr="0058691E">
        <w:rPr>
          <w:rFonts w:ascii="Cambria" w:hAnsi="Cambria"/>
          <w:b/>
          <w:bCs/>
          <w:color w:val="222222"/>
          <w:sz w:val="28"/>
          <w:szCs w:val="28"/>
          <w:lang w:val="pt-PT"/>
        </w:rPr>
        <w:t>01</w:t>
      </w:r>
      <w:proofErr w:type="gramEnd"/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center"/>
        <w:rPr>
          <w:rFonts w:ascii="Cambria" w:eastAsia="Arial" w:hAnsi="Cambria" w:cs="Arial"/>
          <w:b/>
          <w:bCs/>
          <w:color w:val="222222"/>
          <w:sz w:val="28"/>
          <w:szCs w:val="28"/>
        </w:rPr>
      </w:pPr>
    </w:p>
    <w:p w:rsidR="000951B1" w:rsidRDefault="0058691E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sz w:val="28"/>
          <w:szCs w:val="28"/>
        </w:rPr>
        <w:t xml:space="preserve">Para agregar una nueva Glosa, del siguiente tenor: </w:t>
      </w:r>
    </w:p>
    <w:p w:rsidR="000951B1" w:rsidRDefault="000951B1" w:rsidP="0058691E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58691E" w:rsidRPr="000951B1" w:rsidRDefault="0058691E" w:rsidP="0058691E">
      <w:pPr>
        <w:pStyle w:val="Cuerpo"/>
        <w:jc w:val="both"/>
        <w:rPr>
          <w:rStyle w:val="Ninguno"/>
          <w:rFonts w:ascii="Cambria" w:eastAsia="Arial" w:hAnsi="Cambria" w:cs="Arial"/>
          <w:i/>
          <w:sz w:val="28"/>
          <w:szCs w:val="28"/>
        </w:rPr>
      </w:pPr>
      <w:r w:rsidRPr="000951B1">
        <w:rPr>
          <w:rStyle w:val="Ninguno"/>
          <w:rFonts w:ascii="Cambria" w:hAnsi="Cambria"/>
          <w:i/>
          <w:sz w:val="28"/>
          <w:szCs w:val="28"/>
        </w:rPr>
        <w:t xml:space="preserve">“La Contraloría General de la </w:t>
      </w:r>
      <w:proofErr w:type="spellStart"/>
      <w:r w:rsidRPr="000951B1">
        <w:rPr>
          <w:rStyle w:val="Ninguno"/>
          <w:rFonts w:ascii="Cambria" w:hAnsi="Cambria"/>
          <w:i/>
          <w:sz w:val="28"/>
          <w:szCs w:val="28"/>
        </w:rPr>
        <w:t>Repú</w:t>
      </w:r>
      <w:proofErr w:type="spellEnd"/>
      <w:r w:rsidRPr="000951B1">
        <w:rPr>
          <w:rStyle w:val="Ninguno"/>
          <w:rFonts w:ascii="Cambria" w:hAnsi="Cambria"/>
          <w:i/>
          <w:sz w:val="28"/>
          <w:szCs w:val="28"/>
          <w:lang w:val="pt-PT"/>
        </w:rPr>
        <w:t xml:space="preserve">blica </w:t>
      </w:r>
      <w:r w:rsidRPr="000951B1">
        <w:rPr>
          <w:rStyle w:val="Ninguno"/>
          <w:rFonts w:ascii="Cambria" w:hAnsi="Cambria"/>
          <w:i/>
          <w:sz w:val="28"/>
          <w:szCs w:val="28"/>
        </w:rPr>
        <w:t>deberá evacuar, an</w:t>
      </w:r>
      <w:r w:rsidR="00981E5A" w:rsidRPr="000951B1">
        <w:rPr>
          <w:rStyle w:val="Ninguno"/>
          <w:rFonts w:ascii="Cambria" w:hAnsi="Cambria"/>
          <w:i/>
          <w:sz w:val="28"/>
          <w:szCs w:val="28"/>
        </w:rPr>
        <w:t>tes del 30 de Septiembre de 2018</w:t>
      </w:r>
      <w:r w:rsidRPr="000951B1">
        <w:rPr>
          <w:rStyle w:val="Ninguno"/>
          <w:rFonts w:ascii="Cambria" w:hAnsi="Cambria"/>
          <w:i/>
          <w:sz w:val="28"/>
          <w:szCs w:val="28"/>
        </w:rPr>
        <w:t>, los resultados de una Auditorí</w:t>
      </w:r>
      <w:bookmarkStart w:id="0" w:name="_GoBack"/>
      <w:bookmarkEnd w:id="0"/>
      <w:r w:rsidRPr="000951B1">
        <w:rPr>
          <w:rStyle w:val="Ninguno"/>
          <w:rFonts w:ascii="Cambria" w:hAnsi="Cambria"/>
          <w:i/>
          <w:sz w:val="28"/>
          <w:szCs w:val="28"/>
          <w:lang w:val="pt-PT"/>
        </w:rPr>
        <w:t xml:space="preserve">a Ambiental </w:t>
      </w:r>
      <w:r w:rsidRPr="000951B1">
        <w:rPr>
          <w:rStyle w:val="Ninguno"/>
          <w:rFonts w:ascii="Cambria" w:hAnsi="Cambria"/>
          <w:i/>
          <w:sz w:val="28"/>
          <w:szCs w:val="28"/>
        </w:rPr>
        <w:t>respecto de las empresas salmoneras y servicios públicos con injerencia en la regulación, fiscalización y evaluación ambiental de los centros de engorda de salmónidos ubicados en sitios de mar en la Región de Los Lagos, a fin de detectar las posibles violaciones a la Ley General de Pesca y Acuicultura y sus reglamentos asociados (Reglamento Ambiental para la Acuicultura y Reglamento Sanitario para la Acuicultura, RAMA y RESA, respectivamente) en que pudieren haber incurrido. Dentro de la misma fecha los resultados de la Auditoria serán informados a la Comisión de Medio Ambiente y Bienes Nacionales del Senado, a la Comisión de Medio Ambiente y Recursos Naturales de la Cámara de Diputados y a la Comisión Especial Mixta de Presupuesto.”</w:t>
      </w:r>
    </w:p>
    <w:p w:rsidR="0058691E" w:rsidRPr="0058691E" w:rsidRDefault="0058691E" w:rsidP="0058691E">
      <w:pPr>
        <w:pStyle w:val="Cuerpo"/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:rsidR="0058691E" w:rsidRPr="0058691E" w:rsidRDefault="0058691E" w:rsidP="0058691E">
      <w:pPr>
        <w:pStyle w:val="Poromisin"/>
        <w:jc w:val="both"/>
        <w:rPr>
          <w:rFonts w:ascii="Cambria" w:eastAsia="Arial" w:hAnsi="Cambria" w:cs="Arial"/>
          <w:b/>
          <w:bCs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both"/>
        <w:rPr>
          <w:rFonts w:ascii="Cambria" w:eastAsia="Arial" w:hAnsi="Cambria" w:cs="Arial"/>
          <w:b/>
          <w:bCs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both"/>
        <w:rPr>
          <w:rStyle w:val="Ninguno"/>
          <w:rFonts w:ascii="Cambria" w:eastAsia="Arial" w:hAnsi="Cambria" w:cs="Arial"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center"/>
        <w:rPr>
          <w:rStyle w:val="Ninguno"/>
          <w:rFonts w:ascii="Cambria" w:eastAsia="Arial" w:hAnsi="Cambria" w:cs="Arial"/>
          <w:color w:val="222222"/>
          <w:sz w:val="28"/>
          <w:szCs w:val="28"/>
        </w:rPr>
      </w:pPr>
    </w:p>
    <w:p w:rsidR="0058691E" w:rsidRPr="0058691E" w:rsidRDefault="0058691E" w:rsidP="0058691E">
      <w:pPr>
        <w:pStyle w:val="Poromisin"/>
        <w:jc w:val="center"/>
        <w:rPr>
          <w:rStyle w:val="Ninguno"/>
          <w:rFonts w:ascii="Cambria" w:eastAsia="Arial" w:hAnsi="Cambria" w:cs="Arial"/>
          <w:color w:val="222222"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es-ES_tradnl"/>
        </w:rPr>
        <w:t>ALEJANDRO NAVARRO BRAIN</w:t>
      </w:r>
    </w:p>
    <w:p w:rsidR="0058691E" w:rsidRPr="0058691E" w:rsidRDefault="0058691E" w:rsidP="000951B1">
      <w:pPr>
        <w:pStyle w:val="Poromisin"/>
        <w:jc w:val="center"/>
        <w:rPr>
          <w:rFonts w:ascii="Cambria" w:hAnsi="Cambria"/>
          <w:b/>
          <w:bCs/>
          <w:sz w:val="28"/>
          <w:szCs w:val="28"/>
        </w:rPr>
      </w:pPr>
      <w:r w:rsidRPr="0058691E">
        <w:rPr>
          <w:rFonts w:ascii="Cambria" w:hAnsi="Cambria"/>
          <w:b/>
          <w:bCs/>
          <w:color w:val="222222"/>
          <w:sz w:val="28"/>
          <w:szCs w:val="28"/>
          <w:lang w:val="es-ES_tradnl"/>
        </w:rPr>
        <w:t>SENADOR DE LA REPÚBLICA</w:t>
      </w: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8691E" w:rsidRPr="0058691E" w:rsidRDefault="0058691E" w:rsidP="0058691E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76448F" w:rsidRPr="0058691E" w:rsidRDefault="0076448F" w:rsidP="0058691E">
      <w:pPr>
        <w:rPr>
          <w:rFonts w:ascii="Cambria" w:hAnsi="Cambria"/>
          <w:sz w:val="28"/>
          <w:szCs w:val="28"/>
        </w:rPr>
      </w:pPr>
    </w:p>
    <w:sectPr w:rsidR="0076448F" w:rsidRPr="0058691E" w:rsidSect="001B61A3">
      <w:headerReference w:type="default" r:id="rId7"/>
      <w:pgSz w:w="12240" w:h="15840" w:code="1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CD" w:rsidRDefault="00281ACD">
      <w:r>
        <w:separator/>
      </w:r>
    </w:p>
  </w:endnote>
  <w:endnote w:type="continuationSeparator" w:id="0">
    <w:p w:rsidR="00281ACD" w:rsidRDefault="002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CD" w:rsidRDefault="00281ACD">
      <w:r>
        <w:separator/>
      </w:r>
    </w:p>
  </w:footnote>
  <w:footnote w:type="continuationSeparator" w:id="0">
    <w:p w:rsidR="00281ACD" w:rsidRDefault="0028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AE" w:rsidRDefault="00AF2AD7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6097E5F" wp14:editId="3541C3ED">
          <wp:extent cx="997586" cy="8077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6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2AE"/>
    <w:rsid w:val="00065F22"/>
    <w:rsid w:val="000951B1"/>
    <w:rsid w:val="000C6B49"/>
    <w:rsid w:val="000E22AE"/>
    <w:rsid w:val="000F5274"/>
    <w:rsid w:val="00162FCC"/>
    <w:rsid w:val="001A6184"/>
    <w:rsid w:val="001B61A3"/>
    <w:rsid w:val="001D27C9"/>
    <w:rsid w:val="001E57EC"/>
    <w:rsid w:val="001F53AB"/>
    <w:rsid w:val="00213515"/>
    <w:rsid w:val="00250088"/>
    <w:rsid w:val="00271A58"/>
    <w:rsid w:val="00281ACD"/>
    <w:rsid w:val="002E2022"/>
    <w:rsid w:val="002F0F42"/>
    <w:rsid w:val="003C5C5F"/>
    <w:rsid w:val="00476B48"/>
    <w:rsid w:val="0049288E"/>
    <w:rsid w:val="004A5A51"/>
    <w:rsid w:val="004D67FB"/>
    <w:rsid w:val="005708CE"/>
    <w:rsid w:val="0058691E"/>
    <w:rsid w:val="005A6FA3"/>
    <w:rsid w:val="00606A2C"/>
    <w:rsid w:val="006A2600"/>
    <w:rsid w:val="006B076E"/>
    <w:rsid w:val="006C3086"/>
    <w:rsid w:val="006D3DF0"/>
    <w:rsid w:val="0076448F"/>
    <w:rsid w:val="00877DB7"/>
    <w:rsid w:val="008D21DE"/>
    <w:rsid w:val="00910ABE"/>
    <w:rsid w:val="00981E5A"/>
    <w:rsid w:val="00A32ADA"/>
    <w:rsid w:val="00AF2AD7"/>
    <w:rsid w:val="00B323EE"/>
    <w:rsid w:val="00BD32F8"/>
    <w:rsid w:val="00C35E43"/>
    <w:rsid w:val="00C86141"/>
    <w:rsid w:val="00D16DE8"/>
    <w:rsid w:val="00D20C56"/>
    <w:rsid w:val="00DD13C6"/>
    <w:rsid w:val="00E30968"/>
    <w:rsid w:val="00E51188"/>
    <w:rsid w:val="00E8735A"/>
    <w:rsid w:val="00F25082"/>
    <w:rsid w:val="00F949D1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1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A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1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SEC_NAVARRO</dc:creator>
  <cp:lastModifiedBy>Jaime</cp:lastModifiedBy>
  <cp:revision>16</cp:revision>
  <dcterms:created xsi:type="dcterms:W3CDTF">2017-11-03T15:33:00Z</dcterms:created>
  <dcterms:modified xsi:type="dcterms:W3CDTF">2017-11-22T01:30:00Z</dcterms:modified>
</cp:coreProperties>
</file>