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50" w:rsidRDefault="00447A50" w:rsidP="00447A50">
      <w:pPr>
        <w:pStyle w:val="Cuerpo"/>
        <w:jc w:val="center"/>
        <w:rPr>
          <w:rFonts w:ascii="Cambria" w:hAnsi="Cambria"/>
          <w:b/>
          <w:bCs/>
          <w:sz w:val="28"/>
          <w:szCs w:val="28"/>
        </w:rPr>
      </w:pPr>
      <w:r>
        <w:rPr>
          <w:rFonts w:ascii="Cambria" w:hAnsi="Cambria"/>
          <w:b/>
          <w:bCs/>
          <w:sz w:val="28"/>
          <w:szCs w:val="28"/>
        </w:rPr>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DA44E6">
        <w:rPr>
          <w:rFonts w:ascii="Cambria" w:hAnsi="Cambria"/>
          <w:b/>
          <w:bCs/>
          <w:color w:val="222222"/>
          <w:sz w:val="28"/>
          <w:szCs w:val="28"/>
          <w:lang w:val="de-DE"/>
        </w:rPr>
        <w:t>SERVICIO ELECTORAL</w:t>
      </w:r>
    </w:p>
    <w:p w:rsidR="0000069D" w:rsidRPr="0092336F" w:rsidRDefault="0000069D" w:rsidP="0000069D">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 xml:space="preserve"> asociada al subtítulo 21, Gastos en Personal.</w:t>
      </w:r>
    </w:p>
    <w:p w:rsidR="0000069D" w:rsidRDefault="0000069D" w:rsidP="0000069D">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w:t>
      </w:r>
    </w:p>
    <w:p w:rsidR="0000069D" w:rsidRDefault="0000069D" w:rsidP="0000069D">
      <w:pPr>
        <w:pStyle w:val="Cuerpo"/>
        <w:jc w:val="both"/>
        <w:rPr>
          <w:rFonts w:ascii="Cambria" w:hAnsi="Cambria"/>
          <w:b/>
          <w:bCs/>
          <w:color w:val="auto"/>
          <w:sz w:val="28"/>
          <w:szCs w:val="28"/>
          <w:lang w:val="es-CL"/>
        </w:rPr>
      </w:pPr>
      <w:r w:rsidRPr="00AD57B3">
        <w:rPr>
          <w:rFonts w:ascii="Cambria" w:hAnsi="Cambria"/>
          <w:bCs/>
          <w:i/>
          <w:color w:val="auto"/>
          <w:sz w:val="28"/>
          <w:szCs w:val="28"/>
          <w:lang w:val="es-CL"/>
        </w:rPr>
        <w:t xml:space="preserve">“Se informará trimestralmente, treinta días después del término del trimestre respectivo, a la Comisión Especial Mixta de Presupuestos, de los gastos asociados a remuneraciones de trabajadores, indicando la calidad jurídica de los contratos y los porcentajes de tipos de contratación, en relación con el total del personal y diferenciado según género”. </w:t>
      </w:r>
    </w:p>
    <w:p w:rsidR="0000069D" w:rsidRDefault="0000069D" w:rsidP="0000069D">
      <w:pPr>
        <w:pStyle w:val="Cuerpo"/>
        <w:rPr>
          <w:rFonts w:ascii="Cambria" w:hAnsi="Cambria"/>
          <w:b/>
          <w:bCs/>
          <w:color w:val="auto"/>
          <w:sz w:val="28"/>
          <w:szCs w:val="28"/>
          <w:lang w:val="es-CL"/>
        </w:rPr>
      </w:pPr>
    </w:p>
    <w:p w:rsidR="0000069D" w:rsidRDefault="0000069D" w:rsidP="0000069D"/>
    <w:p w:rsidR="0000069D" w:rsidRDefault="0000069D" w:rsidP="0000069D"/>
    <w:p w:rsidR="0000069D" w:rsidRDefault="0000069D" w:rsidP="0000069D"/>
    <w:p w:rsidR="0000069D" w:rsidRDefault="0000069D" w:rsidP="0000069D"/>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DA44E6">
        <w:rPr>
          <w:rFonts w:ascii="Cambria" w:hAnsi="Cambria"/>
          <w:b/>
          <w:bCs/>
          <w:color w:val="222222"/>
          <w:sz w:val="28"/>
          <w:szCs w:val="28"/>
          <w:lang w:val="de-DE"/>
        </w:rPr>
        <w:t>SERVICIO ELECTORAL</w:t>
      </w:r>
    </w:p>
    <w:p w:rsidR="00447A50" w:rsidRDefault="00447A50" w:rsidP="00447A50">
      <w:pPr>
        <w:pStyle w:val="Cuerpo"/>
        <w:jc w:val="center"/>
        <w:rPr>
          <w:rFonts w:ascii="Cambria" w:hAnsi="Cambria"/>
          <w:b/>
          <w:bCs/>
          <w:sz w:val="28"/>
          <w:szCs w:val="28"/>
        </w:rPr>
      </w:pPr>
    </w:p>
    <w:p w:rsidR="0000069D" w:rsidRPr="0092336F" w:rsidRDefault="0000069D" w:rsidP="0000069D">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00069D" w:rsidRPr="00AD57B3" w:rsidRDefault="0000069D" w:rsidP="0000069D">
      <w:pPr>
        <w:pStyle w:val="Cuerpo"/>
        <w:rPr>
          <w:rFonts w:ascii="Cambria" w:hAnsi="Cambria"/>
          <w:b/>
          <w:bCs/>
          <w:color w:val="auto"/>
          <w:sz w:val="28"/>
          <w:szCs w:val="28"/>
          <w:lang w:val="es-CL"/>
        </w:rPr>
      </w:pPr>
    </w:p>
    <w:p w:rsidR="0000069D" w:rsidRDefault="0000069D" w:rsidP="0000069D">
      <w:pPr>
        <w:pStyle w:val="Cuerpo"/>
        <w:tabs>
          <w:tab w:val="left" w:pos="9014"/>
        </w:tabs>
        <w:jc w:val="both"/>
        <w:rPr>
          <w:rFonts w:ascii="Cambria" w:hAnsi="Cambria"/>
          <w:bCs/>
          <w:i/>
          <w:color w:val="auto"/>
          <w:sz w:val="28"/>
          <w:szCs w:val="28"/>
          <w:lang w:val="es-CL"/>
        </w:rPr>
      </w:pPr>
      <w:r w:rsidRPr="00AD57B3">
        <w:rPr>
          <w:rFonts w:ascii="Cambria" w:hAnsi="Cambria"/>
          <w:bCs/>
          <w:i/>
          <w:color w:val="auto"/>
          <w:sz w:val="28"/>
          <w:szCs w:val="28"/>
          <w:lang w:val="es-CL"/>
        </w:rPr>
        <w:t>“Se informará semestralmente, treinta días después del término del semestre respectivo, a la Comisión Especial Mixta de Presupuestos, de la cantidad de  licencias médicas que pudieran ser consideradas como enfermedades laborales tales como el estrés, la fatiga, la tendinitis, las dorsalgias y lumbalgias”.</w:t>
      </w:r>
    </w:p>
    <w:p w:rsidR="0000069D" w:rsidRDefault="0000069D" w:rsidP="0000069D">
      <w:pPr>
        <w:pStyle w:val="Cuerpo"/>
        <w:tabs>
          <w:tab w:val="left" w:pos="9014"/>
        </w:tabs>
        <w:jc w:val="both"/>
        <w:rPr>
          <w:rFonts w:ascii="Cambria" w:hAnsi="Cambria"/>
          <w:bCs/>
          <w:i/>
          <w:color w:val="auto"/>
          <w:sz w:val="28"/>
          <w:szCs w:val="28"/>
          <w:lang w:val="es-CL"/>
        </w:rPr>
      </w:pPr>
    </w:p>
    <w:p w:rsidR="0000069D" w:rsidRDefault="0000069D" w:rsidP="0000069D">
      <w:pPr>
        <w:pStyle w:val="Cuerpo"/>
        <w:tabs>
          <w:tab w:val="left" w:pos="9014"/>
        </w:tabs>
        <w:jc w:val="both"/>
        <w:rPr>
          <w:rFonts w:ascii="Cambria" w:hAnsi="Cambria"/>
          <w:bCs/>
          <w:i/>
          <w:color w:val="auto"/>
          <w:sz w:val="28"/>
          <w:szCs w:val="28"/>
          <w:lang w:val="es-CL"/>
        </w:rPr>
      </w:pPr>
    </w:p>
    <w:p w:rsidR="0000069D" w:rsidRDefault="0000069D" w:rsidP="0000069D">
      <w:pPr>
        <w:pStyle w:val="Cuerpo"/>
        <w:tabs>
          <w:tab w:val="left" w:pos="9014"/>
        </w:tabs>
        <w:jc w:val="both"/>
        <w:rPr>
          <w:rFonts w:ascii="Cambria" w:hAnsi="Cambria"/>
          <w:bCs/>
          <w:i/>
          <w:color w:val="auto"/>
          <w:sz w:val="28"/>
          <w:szCs w:val="28"/>
          <w:lang w:val="es-CL"/>
        </w:rPr>
      </w:pPr>
    </w:p>
    <w:p w:rsidR="0000069D" w:rsidRDefault="0000069D" w:rsidP="0000069D">
      <w:pPr>
        <w:pStyle w:val="Cuerpo"/>
        <w:tabs>
          <w:tab w:val="left" w:pos="9014"/>
        </w:tabs>
        <w:jc w:val="both"/>
        <w:rPr>
          <w:rFonts w:ascii="Cambria" w:hAnsi="Cambria"/>
          <w:bCs/>
          <w:i/>
          <w:color w:val="auto"/>
          <w:sz w:val="28"/>
          <w:szCs w:val="28"/>
          <w:lang w:val="es-CL"/>
        </w:rPr>
      </w:pPr>
    </w:p>
    <w:p w:rsidR="0000069D" w:rsidRDefault="0000069D" w:rsidP="0000069D">
      <w:pPr>
        <w:pStyle w:val="Cuerpo"/>
        <w:tabs>
          <w:tab w:val="left" w:pos="9014"/>
        </w:tabs>
        <w:jc w:val="both"/>
        <w:rPr>
          <w:rFonts w:ascii="Cambria" w:hAnsi="Cambria"/>
          <w:bCs/>
          <w:i/>
          <w:color w:val="auto"/>
          <w:sz w:val="28"/>
          <w:szCs w:val="28"/>
          <w:lang w:val="es-CL"/>
        </w:rPr>
      </w:pPr>
    </w:p>
    <w:p w:rsidR="0000069D" w:rsidRPr="00AD57B3" w:rsidRDefault="0000069D" w:rsidP="0000069D">
      <w:pPr>
        <w:pStyle w:val="Cuerpo"/>
        <w:tabs>
          <w:tab w:val="left" w:pos="9014"/>
        </w:tabs>
        <w:jc w:val="both"/>
        <w:rPr>
          <w:color w:val="auto"/>
        </w:rPr>
      </w:pPr>
    </w:p>
    <w:p w:rsidR="0000069D" w:rsidRDefault="0000069D" w:rsidP="0000069D"/>
    <w:p w:rsidR="0000069D" w:rsidRDefault="0000069D" w:rsidP="0000069D">
      <w:bookmarkStart w:id="0" w:name="_GoBack"/>
      <w:bookmarkEnd w:id="0"/>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DA44E6">
        <w:rPr>
          <w:rFonts w:ascii="Cambria" w:hAnsi="Cambria"/>
          <w:b/>
          <w:bCs/>
          <w:color w:val="222222"/>
          <w:sz w:val="28"/>
          <w:szCs w:val="28"/>
          <w:lang w:val="de-DE"/>
        </w:rPr>
        <w:t>SERVICIO ELECTORAL</w:t>
      </w:r>
    </w:p>
    <w:p w:rsidR="00447A50" w:rsidRDefault="00447A50" w:rsidP="00447A50">
      <w:pPr>
        <w:pStyle w:val="Cuerpo"/>
        <w:jc w:val="center"/>
        <w:rPr>
          <w:rFonts w:ascii="Cambria" w:hAnsi="Cambria"/>
          <w:b/>
          <w:bCs/>
          <w:sz w:val="28"/>
          <w:szCs w:val="28"/>
        </w:rPr>
      </w:pPr>
    </w:p>
    <w:p w:rsidR="0000069D" w:rsidRPr="0092336F" w:rsidRDefault="0000069D" w:rsidP="0000069D">
      <w:pPr>
        <w:pStyle w:val="Cuerpo"/>
        <w:jc w:val="both"/>
        <w:rPr>
          <w:rFonts w:ascii="Cambria" w:hAnsi="Cambria"/>
          <w:b/>
          <w:bCs/>
          <w:sz w:val="28"/>
          <w:szCs w:val="28"/>
        </w:rPr>
      </w:pPr>
      <w:r>
        <w:rPr>
          <w:rFonts w:ascii="Cambria" w:hAnsi="Cambria"/>
          <w:b/>
          <w:bCs/>
          <w:sz w:val="28"/>
          <w:szCs w:val="28"/>
        </w:rPr>
        <w:t xml:space="preserve">Para agregar nueva Glosa común a toda la partida, </w:t>
      </w:r>
      <w:r w:rsidRPr="0092336F">
        <w:rPr>
          <w:rFonts w:ascii="Cambria" w:hAnsi="Cambria"/>
          <w:b/>
          <w:bCs/>
          <w:sz w:val="28"/>
          <w:szCs w:val="28"/>
        </w:rPr>
        <w:t>asociada al subtítulo 08, Otros Ingresos Corrientes.</w:t>
      </w:r>
    </w:p>
    <w:p w:rsidR="0000069D" w:rsidRDefault="0000069D" w:rsidP="0000069D">
      <w:pPr>
        <w:pStyle w:val="Cuerpo"/>
        <w:jc w:val="both"/>
        <w:rPr>
          <w:rFonts w:ascii="Cambria" w:hAnsi="Cambria"/>
          <w:bCs/>
          <w:i/>
          <w:color w:val="auto"/>
          <w:sz w:val="28"/>
          <w:szCs w:val="28"/>
          <w:lang w:val="es-CL"/>
        </w:rPr>
      </w:pPr>
    </w:p>
    <w:p w:rsidR="0000069D" w:rsidRPr="00AD57B3" w:rsidRDefault="0000069D" w:rsidP="0000069D">
      <w:pPr>
        <w:pStyle w:val="Cuerpo"/>
        <w:jc w:val="both"/>
        <w:rPr>
          <w:rFonts w:ascii="Cambria" w:hAnsi="Cambria"/>
          <w:bCs/>
          <w:i/>
          <w:color w:val="auto"/>
          <w:sz w:val="28"/>
          <w:szCs w:val="28"/>
          <w:lang w:val="es-CL"/>
        </w:rPr>
      </w:pPr>
      <w:r w:rsidRPr="00AD57B3">
        <w:rPr>
          <w:rFonts w:ascii="Cambria" w:hAnsi="Cambria"/>
          <w:bCs/>
          <w:i/>
          <w:color w:val="auto"/>
          <w:sz w:val="28"/>
          <w:szCs w:val="28"/>
          <w:lang w:val="es-CL"/>
        </w:rPr>
        <w:t xml:space="preserve"> “Se informará semestralmente, treinta días después del término del semestre respectivo, a la Comisión de Salud del Senado, a la Comisión de Salud de la Cámara de Diputados y a la Comisión Especial Mixta de Presupuesto sobre las recuperaciones y/o reembolsos por licencias médicas relativas a problemas de salud mental, detallando promedios de días de ausentismo, número de funcionarios beneficiarios, diferenciado según género y demás elementos que permitan un diagnóstico de la situación.”.</w:t>
      </w:r>
    </w:p>
    <w:p w:rsidR="0000069D" w:rsidRDefault="0000069D" w:rsidP="0000069D"/>
    <w:p w:rsidR="00447A50" w:rsidRDefault="00447A50" w:rsidP="00447A50">
      <w:pPr>
        <w:pStyle w:val="Cuerpo"/>
        <w:jc w:val="both"/>
        <w:rPr>
          <w:rFonts w:ascii="Cambria" w:hAnsi="Cambria"/>
          <w:b/>
          <w:bCs/>
          <w:sz w:val="28"/>
          <w:szCs w:val="28"/>
        </w:rPr>
      </w:pPr>
    </w:p>
    <w:p w:rsidR="0000069D" w:rsidRDefault="0000069D" w:rsidP="00447A50">
      <w:pPr>
        <w:pStyle w:val="Cuerpo"/>
        <w:jc w:val="both"/>
        <w:rPr>
          <w:rFonts w:ascii="Cambria" w:hAnsi="Cambria"/>
          <w:b/>
          <w:bCs/>
          <w:sz w:val="28"/>
          <w:szCs w:val="28"/>
        </w:rPr>
      </w:pPr>
    </w:p>
    <w:p w:rsidR="0000069D" w:rsidRDefault="0000069D" w:rsidP="00447A50">
      <w:pPr>
        <w:pStyle w:val="Cuerpo"/>
        <w:jc w:val="both"/>
        <w:rPr>
          <w:rFonts w:ascii="Cambria" w:hAnsi="Cambria"/>
          <w:b/>
          <w:bCs/>
          <w:sz w:val="28"/>
          <w:szCs w:val="28"/>
        </w:rPr>
      </w:pPr>
    </w:p>
    <w:p w:rsidR="0000069D" w:rsidRDefault="0000069D" w:rsidP="00447A50">
      <w:pPr>
        <w:pStyle w:val="Cuerpo"/>
        <w:jc w:val="both"/>
        <w:rPr>
          <w:rFonts w:ascii="Cambria" w:hAnsi="Cambria"/>
          <w:b/>
          <w:bCs/>
          <w:sz w:val="28"/>
          <w:szCs w:val="28"/>
        </w:rPr>
      </w:pPr>
    </w:p>
    <w:p w:rsidR="0000069D" w:rsidRDefault="0000069D" w:rsidP="00447A50">
      <w:pPr>
        <w:pStyle w:val="Cuerpo"/>
        <w:jc w:val="both"/>
        <w:rPr>
          <w:rFonts w:ascii="Cambria" w:hAnsi="Cambria"/>
          <w:b/>
          <w:bCs/>
          <w:sz w:val="28"/>
          <w:szCs w:val="28"/>
        </w:rPr>
      </w:pPr>
    </w:p>
    <w:p w:rsidR="0000069D" w:rsidRDefault="0000069D"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DA44E6">
        <w:rPr>
          <w:rFonts w:ascii="Cambria" w:hAnsi="Cambria"/>
          <w:b/>
          <w:bCs/>
          <w:color w:val="222222"/>
          <w:sz w:val="28"/>
          <w:szCs w:val="28"/>
          <w:lang w:val="de-DE"/>
        </w:rPr>
        <w:t>SERVICIO ELECTORAL</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Para agregar nueva Glosa común a toda la partida, común a toda la partida, asociada al subtítulo 21, Gastos en Personal.</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de la cantidad de trabajadoras mujeres que hacen uso del permiso de Lactancia y de los trabajadores hombres que hacen uso del  Permiso parental post natal.”.</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DA44E6">
        <w:rPr>
          <w:rFonts w:ascii="Cambria" w:hAnsi="Cambria"/>
          <w:b/>
          <w:bCs/>
          <w:color w:val="222222"/>
          <w:sz w:val="28"/>
          <w:szCs w:val="28"/>
          <w:lang w:val="de-DE"/>
        </w:rPr>
        <w:t>SERVICIO ELECTORAL</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“Se informará trimestralmente, treinta días después del término del trimestre respectivo, a la Comisión Especial Mixta de Presupuestos, acerca de los gastos realizados en capacitaciones en temas de género, en derechos y lenguas de los pueblos indígenas, en lengua de señas, en atención a personas con discapacidad visual y motriz, en derechos de la niñez y adolescencia, en atención de adultos mayores, inmigrantes y diversidad sexual y se adjuntará un informe con los resultados y logros obtenidos.”.</w:t>
      </w:r>
    </w:p>
    <w:p w:rsidR="00447A50" w:rsidRDefault="00447A50" w:rsidP="00447A50">
      <w:pPr>
        <w:pStyle w:val="Cuerpo"/>
        <w:jc w:val="center"/>
        <w:rPr>
          <w:rFonts w:ascii="Cambria" w:hAnsi="Cambria"/>
          <w:bCs/>
          <w:i/>
          <w:sz w:val="28"/>
          <w:szCs w:val="28"/>
        </w:rPr>
      </w:pPr>
      <w:r>
        <w:rPr>
          <w:rFonts w:ascii="Cambria" w:hAnsi="Cambria"/>
          <w:bCs/>
          <w:i/>
          <w:sz w:val="28"/>
          <w:szCs w:val="28"/>
        </w:rPr>
        <w:t xml:space="preserve"> </w:t>
      </w: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DA44E6">
        <w:rPr>
          <w:rFonts w:ascii="Cambria" w:hAnsi="Cambria"/>
          <w:b/>
          <w:bCs/>
          <w:color w:val="222222"/>
          <w:sz w:val="28"/>
          <w:szCs w:val="28"/>
          <w:lang w:val="de-DE"/>
        </w:rPr>
        <w:t>SERVICIO ELECTORAL</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22, Bienes y Servicios de Consumo</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 xml:space="preserve"> “Con todo, estos recursos no serán destinados a la adquisición de licores, vinos, cervezas y otros similares, salvo aquellas que sean necesarias para cumplir funciones protocolares o diplomáticas.”.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DA44E6">
        <w:rPr>
          <w:rFonts w:ascii="Cambria" w:hAnsi="Cambria"/>
          <w:b/>
          <w:bCs/>
          <w:color w:val="222222"/>
          <w:sz w:val="28"/>
          <w:szCs w:val="28"/>
          <w:lang w:val="de-DE"/>
        </w:rPr>
        <w:t>SERVICIO ELECTORAL</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 xml:space="preserve">Para agregar nueva Glosa común a toda la partida, común a toda la partida, asociada al subtítulo 22, Bienes y Servicios de Consumo: </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Cs/>
          <w:i/>
          <w:sz w:val="28"/>
          <w:szCs w:val="28"/>
        </w:rPr>
        <w:t xml:space="preserve">“Con todo, estos recursos no serán destinados a la adquisición de celulares para funcionarios que tengan cargos de Director o Jefe de Servicio o semejantes en la Escala Única de Sueldos, tampoco se podrá destinar  al arriendo de bienes raíces para estacionamientos de vehículos particulares de funcionarios del </w:t>
      </w:r>
      <w:r w:rsidR="00DA44E6" w:rsidRPr="00DA44E6">
        <w:rPr>
          <w:rFonts w:ascii="Cambria" w:hAnsi="Cambria"/>
          <w:bCs/>
          <w:i/>
          <w:sz w:val="28"/>
          <w:szCs w:val="28"/>
        </w:rPr>
        <w:t>Servicio Electoral</w:t>
      </w:r>
      <w:r w:rsidR="00DA44E6">
        <w:rPr>
          <w:rFonts w:ascii="Cambria" w:hAnsi="Cambria"/>
          <w:bCs/>
          <w:i/>
          <w:sz w:val="28"/>
          <w:szCs w:val="28"/>
        </w:rPr>
        <w:t>.”.</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r>
        <w:rPr>
          <w:rFonts w:ascii="Cambria" w:hAnsi="Cambria"/>
          <w:b/>
          <w:bCs/>
          <w:sz w:val="28"/>
          <w:szCs w:val="28"/>
        </w:rPr>
        <w:t xml:space="preserve"> </w:t>
      </w:r>
    </w:p>
    <w:p w:rsidR="00447A50" w:rsidRDefault="00447A50" w:rsidP="00447A50">
      <w:pPr>
        <w:pStyle w:val="Cuerpo"/>
        <w:jc w:val="center"/>
        <w:rPr>
          <w:rFonts w:ascii="Cambria" w:hAnsi="Cambria"/>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DA44E6">
        <w:rPr>
          <w:rFonts w:ascii="Cambria" w:hAnsi="Cambria"/>
          <w:b/>
          <w:bCs/>
          <w:color w:val="222222"/>
          <w:sz w:val="28"/>
          <w:szCs w:val="28"/>
          <w:lang w:val="de-DE"/>
        </w:rPr>
        <w:t>SERVICIO ELECTORAL</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común a toda la partida, asociada al subtítulo 29,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Cs/>
          <w:i/>
          <w:sz w:val="28"/>
          <w:szCs w:val="28"/>
        </w:rPr>
      </w:pPr>
      <w:r>
        <w:rPr>
          <w:rFonts w:ascii="Cambria" w:hAnsi="Cambria"/>
          <w:bCs/>
          <w:i/>
          <w:sz w:val="28"/>
          <w:szCs w:val="28"/>
        </w:rPr>
        <w:t>“Para la adquisición de programas informáticos o el pago de licencias de programas, deberán privilegiarse las recomendaciones del Informe “Software Libre en el Estado” y “Guía de migración de aplicaciones de escritorio y servidores a aplicaciones de software libre para Organismos Públicos chilenos.”.</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tabs>
          <w:tab w:val="left" w:pos="2644"/>
        </w:tabs>
        <w:jc w:val="both"/>
        <w:rPr>
          <w:rFonts w:ascii="Cambria" w:hAnsi="Cambria"/>
          <w:bCs/>
          <w:i/>
          <w:sz w:val="28"/>
          <w:szCs w:val="28"/>
        </w:rPr>
      </w:pPr>
      <w:r>
        <w:rPr>
          <w:rFonts w:ascii="Cambria" w:hAnsi="Cambria"/>
          <w:bCs/>
          <w:i/>
          <w:sz w:val="28"/>
          <w:szCs w:val="28"/>
        </w:rPr>
        <w:tab/>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r>
        <w:rPr>
          <w:rFonts w:ascii="Cambria" w:hAnsi="Cambria"/>
          <w:b/>
          <w:bCs/>
          <w:sz w:val="28"/>
          <w:szCs w:val="28"/>
        </w:rPr>
        <w:br w:type="page"/>
      </w:r>
    </w:p>
    <w:p w:rsidR="00447A50" w:rsidRDefault="00447A50" w:rsidP="00447A50">
      <w:pPr>
        <w:pStyle w:val="Cuerpo"/>
        <w:jc w:val="center"/>
        <w:rPr>
          <w:rFonts w:ascii="Cambria" w:hAnsi="Cambria"/>
          <w:b/>
          <w:bCs/>
          <w:sz w:val="28"/>
          <w:szCs w:val="28"/>
        </w:rPr>
      </w:pPr>
      <w:r>
        <w:rPr>
          <w:rFonts w:ascii="Cambria" w:hAnsi="Cambria"/>
          <w:b/>
          <w:bCs/>
          <w:sz w:val="28"/>
          <w:szCs w:val="28"/>
        </w:rPr>
        <w:lastRenderedPageBreak/>
        <w:t>INDICACIONES PROYECTO DE LEY DE PRESUPUESTO AÑO 2018.</w:t>
      </w:r>
    </w:p>
    <w:p w:rsidR="00447A50" w:rsidRDefault="00447A50" w:rsidP="00447A50">
      <w:pPr>
        <w:pStyle w:val="Cuerpo"/>
        <w:jc w:val="center"/>
        <w:rPr>
          <w:rFonts w:ascii="Cambria" w:hAnsi="Cambria"/>
          <w:b/>
          <w:bCs/>
          <w:sz w:val="28"/>
          <w:szCs w:val="28"/>
        </w:rPr>
      </w:pPr>
    </w:p>
    <w:p w:rsidR="00447A50" w:rsidRDefault="00447A50" w:rsidP="00447A50">
      <w:pPr>
        <w:pStyle w:val="Poromisin"/>
        <w:jc w:val="center"/>
        <w:rPr>
          <w:rFonts w:ascii="Cambria" w:eastAsia="Arial" w:hAnsi="Cambria" w:cs="Arial"/>
          <w:b/>
          <w:bCs/>
          <w:color w:val="222222"/>
          <w:sz w:val="28"/>
          <w:szCs w:val="28"/>
        </w:rPr>
      </w:pPr>
      <w:r>
        <w:rPr>
          <w:rFonts w:ascii="Cambria" w:hAnsi="Cambria"/>
          <w:b/>
          <w:bCs/>
          <w:sz w:val="28"/>
          <w:szCs w:val="28"/>
        </w:rPr>
        <w:t xml:space="preserve">PARTIDA: </w:t>
      </w:r>
      <w:r w:rsidR="00DA44E6">
        <w:rPr>
          <w:rFonts w:ascii="Cambria" w:hAnsi="Cambria"/>
          <w:b/>
          <w:bCs/>
          <w:color w:val="222222"/>
          <w:sz w:val="28"/>
          <w:szCs w:val="28"/>
          <w:lang w:val="de-DE"/>
        </w:rPr>
        <w:t>SERVICIO ELECTORAL</w:t>
      </w: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hAnsi="Cambria"/>
          <w:b/>
          <w:bCs/>
          <w:sz w:val="28"/>
          <w:szCs w:val="28"/>
        </w:rPr>
      </w:pPr>
      <w:r>
        <w:rPr>
          <w:rFonts w:ascii="Cambria" w:hAnsi="Cambria"/>
          <w:b/>
          <w:bCs/>
          <w:sz w:val="28"/>
          <w:szCs w:val="28"/>
        </w:rPr>
        <w:t>Para agregar nueva Glosa común a toda la partida, Adquisición de Activos no Financieros:</w:t>
      </w: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both"/>
        <w:rPr>
          <w:rFonts w:ascii="Cambria" w:eastAsia="Arial" w:hAnsi="Cambria" w:cs="Arial"/>
          <w:bCs/>
          <w:i/>
          <w:sz w:val="28"/>
          <w:szCs w:val="28"/>
        </w:rPr>
      </w:pPr>
      <w:r>
        <w:rPr>
          <w:rFonts w:ascii="Cambria" w:eastAsia="Arial" w:hAnsi="Cambria" w:cs="Arial"/>
          <w:bCs/>
          <w:i/>
          <w:sz w:val="28"/>
          <w:szCs w:val="28"/>
        </w:rPr>
        <w:t xml:space="preserve">“Se </w:t>
      </w:r>
      <w:r>
        <w:rPr>
          <w:rStyle w:val="Ninguno"/>
          <w:rFonts w:ascii="Cambria" w:hAnsi="Cambria"/>
          <w:i/>
          <w:sz w:val="28"/>
          <w:szCs w:val="28"/>
        </w:rPr>
        <w:t>informará trimestralmente, treinta días después del término del trimestre respectivo,</w:t>
      </w:r>
      <w:r>
        <w:rPr>
          <w:rFonts w:ascii="Cambria" w:eastAsia="Arial" w:hAnsi="Cambria" w:cs="Arial"/>
          <w:bCs/>
          <w:i/>
          <w:sz w:val="28"/>
          <w:szCs w:val="28"/>
        </w:rPr>
        <w:t xml:space="preserve"> detalladamente el monto de los recursos destinados a la adquisición de programas informáticos y la cantidad de equipos informáticos que los programas nutrirán, se informará también de los proveedores de los programas indicando los montos que se adjudican en cada caso. Se adjuntará un informe con los resultados y logros obtenidos con esta  adquisición.”.</w:t>
      </w: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Cs/>
          <w:i/>
          <w:sz w:val="28"/>
          <w:szCs w:val="28"/>
        </w:rPr>
      </w:pPr>
    </w:p>
    <w:p w:rsidR="00447A50" w:rsidRDefault="00447A50" w:rsidP="00447A50">
      <w:pPr>
        <w:pStyle w:val="Cuerpo"/>
        <w:jc w:val="both"/>
        <w:rPr>
          <w:rFonts w:ascii="Cambria" w:hAnsi="Cambria"/>
          <w:b/>
          <w:bCs/>
          <w:sz w:val="28"/>
          <w:szCs w:val="28"/>
        </w:rPr>
      </w:pPr>
    </w:p>
    <w:p w:rsidR="00447A50" w:rsidRDefault="00447A50" w:rsidP="00447A50">
      <w:pPr>
        <w:pStyle w:val="Cuerpo"/>
        <w:jc w:val="center"/>
        <w:rPr>
          <w:rFonts w:ascii="Cambria" w:eastAsia="Arial" w:hAnsi="Cambria" w:cs="Arial"/>
          <w:b/>
          <w:bCs/>
          <w:sz w:val="28"/>
          <w:szCs w:val="28"/>
        </w:rPr>
      </w:pPr>
      <w:r>
        <w:rPr>
          <w:rFonts w:ascii="Cambria" w:hAnsi="Cambria"/>
          <w:b/>
          <w:bCs/>
          <w:sz w:val="28"/>
          <w:szCs w:val="28"/>
        </w:rPr>
        <w:t>ALEJANDRO NAVARRO BRAIN</w:t>
      </w:r>
    </w:p>
    <w:p w:rsidR="00447A50" w:rsidRDefault="00447A50" w:rsidP="00447A50">
      <w:pPr>
        <w:pStyle w:val="Cuerpo"/>
        <w:jc w:val="center"/>
        <w:rPr>
          <w:rFonts w:ascii="Cambria" w:hAnsi="Cambria"/>
          <w:b/>
          <w:bCs/>
          <w:sz w:val="28"/>
          <w:szCs w:val="28"/>
        </w:rPr>
      </w:pPr>
      <w:r>
        <w:rPr>
          <w:rFonts w:ascii="Cambria" w:hAnsi="Cambria"/>
          <w:b/>
          <w:bCs/>
          <w:sz w:val="28"/>
          <w:szCs w:val="28"/>
        </w:rPr>
        <w:t>SENADOR DE LA REPÚBLICA</w:t>
      </w:r>
    </w:p>
    <w:p w:rsidR="00447A50" w:rsidRDefault="00447A50" w:rsidP="00447A50">
      <w:pPr>
        <w:rPr>
          <w:rFonts w:ascii="Cambria" w:hAnsi="Cambria" w:cs="Arial Unicode MS"/>
          <w:b/>
          <w:bCs/>
          <w:color w:val="000000"/>
          <w:sz w:val="28"/>
          <w:szCs w:val="28"/>
          <w:lang w:val="es-ES_tradnl" w:eastAsia="es-CL"/>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pStyle w:val="Cuerpo"/>
        <w:jc w:val="center"/>
        <w:rPr>
          <w:rFonts w:ascii="Cambria" w:hAnsi="Cambria"/>
          <w:b/>
          <w:bCs/>
          <w:sz w:val="28"/>
          <w:szCs w:val="28"/>
        </w:rPr>
      </w:pPr>
    </w:p>
    <w:p w:rsidR="00447A50" w:rsidRDefault="00447A50" w:rsidP="00447A50">
      <w:pPr>
        <w:rPr>
          <w:rFonts w:ascii="Cambria" w:hAnsi="Cambria"/>
          <w:sz w:val="28"/>
          <w:szCs w:val="28"/>
        </w:rPr>
      </w:pPr>
    </w:p>
    <w:p w:rsidR="00447A50" w:rsidRDefault="00447A50" w:rsidP="00447A50"/>
    <w:p w:rsidR="00447A50" w:rsidRDefault="00447A50" w:rsidP="00447A50"/>
    <w:p w:rsidR="00447A50" w:rsidRDefault="00447A50" w:rsidP="00447A50"/>
    <w:p w:rsidR="00447A50" w:rsidRDefault="00447A50" w:rsidP="00447A50"/>
    <w:p w:rsidR="00447A50" w:rsidRDefault="00447A50" w:rsidP="00447A50"/>
    <w:p w:rsidR="00326CF6" w:rsidRPr="00E964C3" w:rsidRDefault="00326CF6" w:rsidP="00E964C3"/>
    <w:sectPr w:rsidR="00326CF6" w:rsidRPr="00E964C3" w:rsidSect="001B61A3">
      <w:headerReference w:type="default" r:id="rId7"/>
      <w:pgSz w:w="12240" w:h="15840" w:code="1"/>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F94" w:rsidRDefault="00332F94">
      <w:r>
        <w:separator/>
      </w:r>
    </w:p>
  </w:endnote>
  <w:endnote w:type="continuationSeparator" w:id="0">
    <w:p w:rsidR="00332F94" w:rsidRDefault="0033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F94" w:rsidRDefault="00332F94">
      <w:r>
        <w:separator/>
      </w:r>
    </w:p>
  </w:footnote>
  <w:footnote w:type="continuationSeparator" w:id="0">
    <w:p w:rsidR="00332F94" w:rsidRDefault="00332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2AE" w:rsidRDefault="00AF2AD7">
    <w:pPr>
      <w:pStyle w:val="Cabeceraypie"/>
      <w:tabs>
        <w:tab w:val="clear" w:pos="9020"/>
        <w:tab w:val="center" w:pos="4819"/>
        <w:tab w:val="right" w:pos="9638"/>
      </w:tabs>
    </w:pPr>
    <w:r>
      <w:rPr>
        <w:noProof/>
      </w:rPr>
      <w:drawing>
        <wp:inline distT="0" distB="0" distL="0" distR="0" wp14:anchorId="12133C07" wp14:editId="06F28CFF">
          <wp:extent cx="997586" cy="8077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997586" cy="80772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0E22AE"/>
    <w:rsid w:val="0000069D"/>
    <w:rsid w:val="00044CE3"/>
    <w:rsid w:val="00065F22"/>
    <w:rsid w:val="000C6B49"/>
    <w:rsid w:val="000E22AE"/>
    <w:rsid w:val="001705F2"/>
    <w:rsid w:val="001A6184"/>
    <w:rsid w:val="001B61A3"/>
    <w:rsid w:val="001D27C9"/>
    <w:rsid w:val="001F53AB"/>
    <w:rsid w:val="00213515"/>
    <w:rsid w:val="002E2022"/>
    <w:rsid w:val="002F0F42"/>
    <w:rsid w:val="00326CF6"/>
    <w:rsid w:val="00332F94"/>
    <w:rsid w:val="003C5C5F"/>
    <w:rsid w:val="00447A50"/>
    <w:rsid w:val="0049288E"/>
    <w:rsid w:val="004D67FB"/>
    <w:rsid w:val="004E5B13"/>
    <w:rsid w:val="00553920"/>
    <w:rsid w:val="005708CE"/>
    <w:rsid w:val="005A6FA3"/>
    <w:rsid w:val="0061793B"/>
    <w:rsid w:val="00681C85"/>
    <w:rsid w:val="00696061"/>
    <w:rsid w:val="006D3DF0"/>
    <w:rsid w:val="00711A92"/>
    <w:rsid w:val="0076448F"/>
    <w:rsid w:val="00877DB7"/>
    <w:rsid w:val="008D21DE"/>
    <w:rsid w:val="00910ABE"/>
    <w:rsid w:val="00A243BF"/>
    <w:rsid w:val="00A32ADA"/>
    <w:rsid w:val="00AF2AD7"/>
    <w:rsid w:val="00BD32F8"/>
    <w:rsid w:val="00C532AD"/>
    <w:rsid w:val="00CD4FCF"/>
    <w:rsid w:val="00D16DE8"/>
    <w:rsid w:val="00DA44E6"/>
    <w:rsid w:val="00E02317"/>
    <w:rsid w:val="00E30968"/>
    <w:rsid w:val="00E57538"/>
    <w:rsid w:val="00E964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rPr>
      <w:rFonts w:ascii="Helvetica" w:hAnsi="Helvetica" w:cs="Arial Unicode MS"/>
      <w:color w:val="000000"/>
      <w:sz w:val="22"/>
      <w:szCs w:val="22"/>
      <w:lang w:val="es-ES_tradnl"/>
    </w:rPr>
  </w:style>
  <w:style w:type="character" w:customStyle="1" w:styleId="Ninguno">
    <w:name w:val="Ninguno"/>
    <w:rPr>
      <w:lang w:val="es-ES_tradnl"/>
    </w:rPr>
  </w:style>
  <w:style w:type="paragraph" w:customStyle="1" w:styleId="Poromisin">
    <w:name w:val="Por omisión"/>
    <w:rPr>
      <w:rFonts w:ascii="Helvetica" w:eastAsia="Helvetica" w:hAnsi="Helvetica" w:cs="Helvetica"/>
      <w:color w:val="000000"/>
      <w:sz w:val="22"/>
      <w:szCs w:val="22"/>
    </w:rPr>
  </w:style>
  <w:style w:type="paragraph" w:styleId="Textodeglobo">
    <w:name w:val="Balloon Text"/>
    <w:basedOn w:val="Normal"/>
    <w:link w:val="TextodegloboCar"/>
    <w:uiPriority w:val="99"/>
    <w:semiHidden/>
    <w:unhideWhenUsed/>
    <w:rsid w:val="008D21DE"/>
    <w:rPr>
      <w:rFonts w:ascii="Tahoma" w:hAnsi="Tahoma" w:cs="Tahoma"/>
      <w:sz w:val="16"/>
      <w:szCs w:val="16"/>
    </w:rPr>
  </w:style>
  <w:style w:type="character" w:customStyle="1" w:styleId="TextodegloboCar">
    <w:name w:val="Texto de globo Car"/>
    <w:basedOn w:val="Fuentedeprrafopredeter"/>
    <w:link w:val="Textodeglobo"/>
    <w:uiPriority w:val="99"/>
    <w:semiHidden/>
    <w:rsid w:val="008D21DE"/>
    <w:rPr>
      <w:rFonts w:ascii="Tahoma" w:hAnsi="Tahoma" w:cs="Tahoma"/>
      <w:sz w:val="16"/>
      <w:szCs w:val="16"/>
      <w:lang w:val="en-US" w:eastAsia="en-US"/>
    </w:rPr>
  </w:style>
  <w:style w:type="paragraph" w:styleId="Encabezado">
    <w:name w:val="header"/>
    <w:basedOn w:val="Normal"/>
    <w:link w:val="EncabezadoCar"/>
    <w:uiPriority w:val="99"/>
    <w:unhideWhenUsed/>
    <w:rsid w:val="001B61A3"/>
    <w:pPr>
      <w:tabs>
        <w:tab w:val="center" w:pos="4419"/>
        <w:tab w:val="right" w:pos="8838"/>
      </w:tabs>
    </w:pPr>
  </w:style>
  <w:style w:type="character" w:customStyle="1" w:styleId="EncabezadoCar">
    <w:name w:val="Encabezado Car"/>
    <w:basedOn w:val="Fuentedeprrafopredeter"/>
    <w:link w:val="Encabezado"/>
    <w:uiPriority w:val="99"/>
    <w:rsid w:val="001B61A3"/>
    <w:rPr>
      <w:sz w:val="24"/>
      <w:szCs w:val="24"/>
      <w:lang w:val="en-US" w:eastAsia="en-US"/>
    </w:rPr>
  </w:style>
  <w:style w:type="paragraph" w:styleId="Piedepgina">
    <w:name w:val="footer"/>
    <w:basedOn w:val="Normal"/>
    <w:link w:val="PiedepginaCar"/>
    <w:uiPriority w:val="99"/>
    <w:unhideWhenUsed/>
    <w:rsid w:val="001B61A3"/>
    <w:pPr>
      <w:tabs>
        <w:tab w:val="center" w:pos="4419"/>
        <w:tab w:val="right" w:pos="8838"/>
      </w:tabs>
    </w:pPr>
  </w:style>
  <w:style w:type="character" w:customStyle="1" w:styleId="PiedepginaCar">
    <w:name w:val="Pie de página Car"/>
    <w:basedOn w:val="Fuentedeprrafopredeter"/>
    <w:link w:val="Piedepgina"/>
    <w:uiPriority w:val="99"/>
    <w:rsid w:val="001B61A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50174">
      <w:bodyDiv w:val="1"/>
      <w:marLeft w:val="0"/>
      <w:marRight w:val="0"/>
      <w:marTop w:val="0"/>
      <w:marBottom w:val="0"/>
      <w:divBdr>
        <w:top w:val="none" w:sz="0" w:space="0" w:color="auto"/>
        <w:left w:val="none" w:sz="0" w:space="0" w:color="auto"/>
        <w:bottom w:val="none" w:sz="0" w:space="0" w:color="auto"/>
        <w:right w:val="none" w:sz="0" w:space="0" w:color="auto"/>
      </w:divBdr>
    </w:div>
    <w:div w:id="713582837">
      <w:bodyDiv w:val="1"/>
      <w:marLeft w:val="0"/>
      <w:marRight w:val="0"/>
      <w:marTop w:val="0"/>
      <w:marBottom w:val="0"/>
      <w:divBdr>
        <w:top w:val="none" w:sz="0" w:space="0" w:color="auto"/>
        <w:left w:val="none" w:sz="0" w:space="0" w:color="auto"/>
        <w:bottom w:val="none" w:sz="0" w:space="0" w:color="auto"/>
        <w:right w:val="none" w:sz="0" w:space="0" w:color="auto"/>
      </w:divBdr>
    </w:div>
    <w:div w:id="1707832499">
      <w:bodyDiv w:val="1"/>
      <w:marLeft w:val="0"/>
      <w:marRight w:val="0"/>
      <w:marTop w:val="0"/>
      <w:marBottom w:val="0"/>
      <w:divBdr>
        <w:top w:val="none" w:sz="0" w:space="0" w:color="auto"/>
        <w:left w:val="none" w:sz="0" w:space="0" w:color="auto"/>
        <w:bottom w:val="none" w:sz="0" w:space="0" w:color="auto"/>
        <w:right w:val="none" w:sz="0" w:space="0" w:color="auto"/>
      </w:divBdr>
    </w:div>
    <w:div w:id="210110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859</Words>
  <Characters>4727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SEC_NAVARRO</dc:creator>
  <cp:lastModifiedBy>Jaime</cp:lastModifiedBy>
  <cp:revision>4</cp:revision>
  <dcterms:created xsi:type="dcterms:W3CDTF">2017-11-18T19:53:00Z</dcterms:created>
  <dcterms:modified xsi:type="dcterms:W3CDTF">2017-11-20T15:51:00Z</dcterms:modified>
</cp:coreProperties>
</file>