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37" w:rsidRPr="00296537" w:rsidRDefault="00296537" w:rsidP="00296537">
      <w:pPr>
        <w:spacing w:line="276" w:lineRule="auto"/>
        <w:jc w:val="center"/>
        <w:rPr>
          <w:b/>
          <w:smallCaps/>
          <w:lang w:val="es-ES_tradnl"/>
        </w:rPr>
      </w:pPr>
      <w:bookmarkStart w:id="0" w:name="_GoBack"/>
      <w:bookmarkEnd w:id="0"/>
      <w:r>
        <w:rPr>
          <w:b/>
          <w:smallCaps/>
        </w:rPr>
        <w:t xml:space="preserve">Indicaciones </w:t>
      </w:r>
      <w:r w:rsidRPr="00296537">
        <w:rPr>
          <w:b/>
          <w:smallCaps/>
          <w:lang w:val="es-ES"/>
        </w:rPr>
        <w:t xml:space="preserve">el proyecto de ley que modifica el código sanitario para regular los medicamentos </w:t>
      </w:r>
      <w:proofErr w:type="spellStart"/>
      <w:r w:rsidRPr="00296537">
        <w:rPr>
          <w:b/>
          <w:smallCaps/>
          <w:lang w:val="es-ES"/>
        </w:rPr>
        <w:t>bioequivalentes</w:t>
      </w:r>
      <w:proofErr w:type="spellEnd"/>
      <w:r w:rsidRPr="00296537">
        <w:rPr>
          <w:b/>
          <w:smallCaps/>
          <w:lang w:val="es-ES"/>
        </w:rPr>
        <w:t xml:space="preserve"> genéricos y evitar la integración vertical de laboratorios y farmacias.</w:t>
      </w:r>
    </w:p>
    <w:p w:rsidR="00296537" w:rsidRPr="00296537" w:rsidRDefault="00296537" w:rsidP="00296537">
      <w:pPr>
        <w:spacing w:line="276" w:lineRule="auto"/>
        <w:jc w:val="center"/>
        <w:rPr>
          <w:b/>
          <w:smallCaps/>
          <w:lang w:val="es-ES_tradnl"/>
        </w:rPr>
      </w:pPr>
    </w:p>
    <w:p w:rsidR="00296537" w:rsidRPr="00296537" w:rsidRDefault="00296537" w:rsidP="00296537">
      <w:pPr>
        <w:spacing w:line="276" w:lineRule="auto"/>
        <w:jc w:val="center"/>
        <w:rPr>
          <w:b/>
          <w:smallCaps/>
          <w:lang w:val="es-ES_tradnl"/>
        </w:rPr>
      </w:pPr>
      <w:bookmarkStart w:id="1" w:name="Boletin"/>
      <w:r>
        <w:rPr>
          <w:b/>
          <w:smallCaps/>
          <w:lang w:val="es-ES_tradnl"/>
        </w:rPr>
        <w:t>B</w:t>
      </w:r>
      <w:r w:rsidRPr="00296537">
        <w:rPr>
          <w:b/>
          <w:smallCaps/>
          <w:lang w:val="es-ES_tradnl"/>
        </w:rPr>
        <w:t>oletín nº 9.914-11</w:t>
      </w:r>
      <w:bookmarkEnd w:id="1"/>
    </w:p>
    <w:p w:rsidR="00296537" w:rsidRDefault="00296537" w:rsidP="00296537">
      <w:pPr>
        <w:spacing w:line="276" w:lineRule="auto"/>
        <w:jc w:val="center"/>
      </w:pPr>
    </w:p>
    <w:p w:rsidR="00296537" w:rsidRPr="009D7E30" w:rsidRDefault="00296537" w:rsidP="00296537">
      <w:pPr>
        <w:pStyle w:val="Prrafodelista"/>
        <w:numPr>
          <w:ilvl w:val="0"/>
          <w:numId w:val="1"/>
        </w:numPr>
        <w:spacing w:line="276" w:lineRule="auto"/>
        <w:rPr>
          <w:i/>
        </w:rPr>
      </w:pPr>
      <w:r w:rsidRPr="009D7E30">
        <w:rPr>
          <w:szCs w:val="24"/>
        </w:rPr>
        <w:t xml:space="preserve">Artículo </w:t>
      </w:r>
      <w:r>
        <w:rPr>
          <w:szCs w:val="24"/>
        </w:rPr>
        <w:t>4</w:t>
      </w:r>
      <w:r w:rsidRPr="009D7E30">
        <w:rPr>
          <w:szCs w:val="24"/>
        </w:rPr>
        <w:t>:</w:t>
      </w:r>
    </w:p>
    <w:p w:rsidR="00296537" w:rsidRPr="0030327C" w:rsidRDefault="00296537" w:rsidP="00296537">
      <w:pPr>
        <w:pStyle w:val="Prrafodelista"/>
        <w:spacing w:line="276" w:lineRule="auto"/>
        <w:ind w:left="1440"/>
        <w:rPr>
          <w:i/>
        </w:rPr>
      </w:pPr>
    </w:p>
    <w:p w:rsidR="00296537" w:rsidRPr="00296537" w:rsidRDefault="003008F1" w:rsidP="00E97730">
      <w:pPr>
        <w:pStyle w:val="Prrafodelista"/>
        <w:numPr>
          <w:ilvl w:val="1"/>
          <w:numId w:val="1"/>
        </w:numPr>
        <w:spacing w:line="276" w:lineRule="auto"/>
        <w:rPr>
          <w:lang w:val="es-ES_tradnl"/>
        </w:rPr>
      </w:pPr>
      <w:r>
        <w:t>En su inciso segundo, r</w:t>
      </w:r>
      <w:r w:rsidR="00296537" w:rsidRPr="00C15BF4">
        <w:t>eemplácese</w:t>
      </w:r>
      <w:r w:rsidR="00296537">
        <w:t xml:space="preserve"> la oración</w:t>
      </w:r>
      <w:r w:rsidR="00296537" w:rsidRPr="00C15BF4">
        <w:t xml:space="preserve"> </w:t>
      </w:r>
      <w:r w:rsidR="00296537">
        <w:t>“</w:t>
      </w:r>
      <w:r w:rsidR="00296537" w:rsidRPr="00296537">
        <w:rPr>
          <w:lang w:val="es-ES_tradnl"/>
        </w:rPr>
        <w:t xml:space="preserve">los que podrán ser fraccionados por éstos, </w:t>
      </w:r>
      <w:r>
        <w:rPr>
          <w:lang w:val="es-ES_tradnl"/>
        </w:rPr>
        <w:t>conforme a la normativa vigente” por la siguiente: “</w:t>
      </w:r>
      <w:r w:rsidR="00E97730">
        <w:rPr>
          <w:lang w:val="es-ES_tradnl"/>
        </w:rPr>
        <w:t xml:space="preserve"> los que deberán ser fraccionados por és</w:t>
      </w:r>
      <w:r w:rsidR="0091490E">
        <w:rPr>
          <w:lang w:val="es-ES_tradnl"/>
        </w:rPr>
        <w:t>t</w:t>
      </w:r>
      <w:r w:rsidR="00E97730">
        <w:rPr>
          <w:lang w:val="es-ES_tradnl"/>
        </w:rPr>
        <w:t xml:space="preserve">os, en los casos que correspondan conforme a la normativa </w:t>
      </w:r>
      <w:commentRangeStart w:id="2"/>
      <w:r w:rsidR="00E97730">
        <w:rPr>
          <w:lang w:val="es-ES_tradnl"/>
        </w:rPr>
        <w:t>vigente</w:t>
      </w:r>
      <w:commentRangeEnd w:id="2"/>
      <w:r w:rsidR="00E97730">
        <w:rPr>
          <w:rStyle w:val="Refdecomentario"/>
        </w:rPr>
        <w:commentReference w:id="2"/>
      </w:r>
      <w:r w:rsidR="00E97730">
        <w:rPr>
          <w:lang w:val="es-ES_tradnl"/>
        </w:rPr>
        <w:t>”</w:t>
      </w:r>
    </w:p>
    <w:p w:rsidR="00296537" w:rsidRPr="00C15BF4" w:rsidRDefault="00296537" w:rsidP="00C91F27">
      <w:pPr>
        <w:spacing w:line="276" w:lineRule="auto"/>
      </w:pPr>
    </w:p>
    <w:p w:rsidR="00296537" w:rsidRPr="00EF247A" w:rsidRDefault="00296537" w:rsidP="00296537">
      <w:pPr>
        <w:rPr>
          <w:i/>
        </w:rPr>
      </w:pPr>
    </w:p>
    <w:p w:rsidR="00296537" w:rsidRPr="009D7E30" w:rsidRDefault="00296537" w:rsidP="00296537">
      <w:pPr>
        <w:pStyle w:val="Prrafodelista"/>
        <w:numPr>
          <w:ilvl w:val="0"/>
          <w:numId w:val="1"/>
        </w:numPr>
      </w:pPr>
      <w:r w:rsidRPr="009D7E30">
        <w:t xml:space="preserve">Artículo </w:t>
      </w:r>
      <w:r w:rsidR="00C91F27">
        <w:t>127 A</w:t>
      </w:r>
    </w:p>
    <w:p w:rsidR="00296537" w:rsidRPr="009D7E30" w:rsidRDefault="00296537" w:rsidP="00296537">
      <w:pPr>
        <w:rPr>
          <w:i/>
        </w:rPr>
      </w:pPr>
    </w:p>
    <w:p w:rsidR="00296537" w:rsidRPr="00914A9D" w:rsidRDefault="00296537" w:rsidP="00296537">
      <w:pPr>
        <w:pStyle w:val="Prrafodelista"/>
        <w:numPr>
          <w:ilvl w:val="1"/>
          <w:numId w:val="1"/>
        </w:numPr>
        <w:spacing w:line="276" w:lineRule="auto"/>
        <w:rPr>
          <w:i/>
        </w:rPr>
      </w:pPr>
      <w:r>
        <w:t xml:space="preserve">En su inciso </w:t>
      </w:r>
      <w:r w:rsidR="00C91F27">
        <w:t>tercero</w:t>
      </w:r>
      <w:r>
        <w:t>, sustitúyase</w:t>
      </w:r>
      <w:r w:rsidR="00C91F27">
        <w:t xml:space="preserve"> la frase</w:t>
      </w:r>
      <w:r>
        <w:t xml:space="preserve"> </w:t>
      </w:r>
      <w:r w:rsidR="00C91F27">
        <w:rPr>
          <w:lang w:val="es-ES_tradnl"/>
        </w:rPr>
        <w:t>“l</w:t>
      </w:r>
      <w:r w:rsidR="00C91F27" w:rsidRPr="00C91F27">
        <w:rPr>
          <w:lang w:val="es-ES_tradnl"/>
        </w:rPr>
        <w:t>os laboratorios y los distribuidores de medicamentos podrán fraccionar los medicamentos para su venta</w:t>
      </w:r>
      <w:r>
        <w:t>”</w:t>
      </w:r>
      <w:r w:rsidR="00C91F27">
        <w:t xml:space="preserve"> por “los laboratorios y los distribuidores de medicamentos deberán fraccionar los medicamentos para su venta, en los casos que correspondan conforme a la normativa </w:t>
      </w:r>
      <w:commentRangeStart w:id="3"/>
      <w:r w:rsidR="00C91F27">
        <w:t>vigente</w:t>
      </w:r>
      <w:commentRangeEnd w:id="3"/>
      <w:r w:rsidR="00C91F27">
        <w:rPr>
          <w:rStyle w:val="Refdecomentario"/>
        </w:rPr>
        <w:commentReference w:id="3"/>
      </w:r>
      <w:r w:rsidR="00C91F27">
        <w:t>”</w:t>
      </w:r>
    </w:p>
    <w:p w:rsidR="00296537" w:rsidRPr="00C91F27" w:rsidRDefault="00296537" w:rsidP="00C91F27">
      <w:pPr>
        <w:spacing w:line="276" w:lineRule="auto"/>
        <w:rPr>
          <w:i/>
        </w:rPr>
      </w:pPr>
    </w:p>
    <w:p w:rsidR="00296537" w:rsidRPr="00CD6AAD" w:rsidRDefault="00296537" w:rsidP="00296537">
      <w:pPr>
        <w:pStyle w:val="Prrafodelista"/>
        <w:rPr>
          <w:i/>
        </w:rPr>
      </w:pPr>
    </w:p>
    <w:p w:rsidR="00296537" w:rsidRDefault="00296537" w:rsidP="00296537">
      <w:pPr>
        <w:pStyle w:val="Prrafodelista"/>
        <w:numPr>
          <w:ilvl w:val="0"/>
          <w:numId w:val="1"/>
        </w:numPr>
        <w:rPr>
          <w:lang w:val="es-ES"/>
        </w:rPr>
      </w:pPr>
      <w:r>
        <w:rPr>
          <w:lang w:val="es-ES"/>
        </w:rPr>
        <w:t xml:space="preserve">Artículo </w:t>
      </w:r>
      <w:r w:rsidR="00C91F27">
        <w:rPr>
          <w:lang w:val="es-ES"/>
        </w:rPr>
        <w:t>128 bis</w:t>
      </w:r>
    </w:p>
    <w:p w:rsidR="00296537" w:rsidRDefault="00296537" w:rsidP="00296537">
      <w:pPr>
        <w:pStyle w:val="Prrafodelista"/>
        <w:rPr>
          <w:lang w:val="es-ES"/>
        </w:rPr>
      </w:pPr>
    </w:p>
    <w:p w:rsidR="00F235A9" w:rsidRPr="00F235A9" w:rsidRDefault="000E3062" w:rsidP="00F235A9">
      <w:pPr>
        <w:pStyle w:val="Prrafodelista"/>
        <w:numPr>
          <w:ilvl w:val="1"/>
          <w:numId w:val="1"/>
        </w:numPr>
      </w:pPr>
      <w:r>
        <w:t>En su inciso primero, sustitúyase la frase “</w:t>
      </w:r>
      <w:r w:rsidRPr="00EB603B">
        <w:rPr>
          <w:lang w:val="es-ES"/>
        </w:rPr>
        <w:t>al menos un tercio de una de sus caras principales</w:t>
      </w:r>
      <w:r>
        <w:rPr>
          <w:lang w:val="es-ES"/>
        </w:rPr>
        <w:t xml:space="preserve">” por la frase “al menos un tercio de sus caras </w:t>
      </w:r>
      <w:commentRangeStart w:id="4"/>
      <w:r>
        <w:rPr>
          <w:lang w:val="es-ES"/>
        </w:rPr>
        <w:t>principales</w:t>
      </w:r>
      <w:commentRangeEnd w:id="4"/>
      <w:r>
        <w:rPr>
          <w:rStyle w:val="Refdecomentario"/>
        </w:rPr>
        <w:commentReference w:id="4"/>
      </w:r>
      <w:r>
        <w:rPr>
          <w:lang w:val="es-ES"/>
        </w:rPr>
        <w:t>”</w:t>
      </w:r>
    </w:p>
    <w:p w:rsidR="00F235A9" w:rsidRPr="00F235A9" w:rsidRDefault="00F235A9" w:rsidP="00F235A9">
      <w:pPr>
        <w:pStyle w:val="Prrafodelista"/>
        <w:ind w:left="1440"/>
      </w:pPr>
    </w:p>
    <w:p w:rsidR="00F235A9" w:rsidRPr="00F235A9" w:rsidRDefault="00C91F27" w:rsidP="00F235A9">
      <w:pPr>
        <w:pStyle w:val="Prrafodelista"/>
        <w:numPr>
          <w:ilvl w:val="1"/>
          <w:numId w:val="1"/>
        </w:numPr>
      </w:pPr>
      <w:r>
        <w:rPr>
          <w:lang w:val="es-ES"/>
        </w:rPr>
        <w:t>En s</w:t>
      </w:r>
      <w:r w:rsidR="00F235A9">
        <w:rPr>
          <w:lang w:val="es-ES"/>
        </w:rPr>
        <w:t>u inciso final, reemplácese la frase “</w:t>
      </w:r>
      <w:r w:rsidR="00F235A9" w:rsidRPr="00F235A9">
        <w:rPr>
          <w:lang w:val="es-ES_tradnl"/>
        </w:rPr>
        <w:t>el que además deberá recoger las disposiciones contenidas en la ley N°20.422.”</w:t>
      </w:r>
      <w:r w:rsidR="00F235A9">
        <w:rPr>
          <w:lang w:val="es-ES_tradnl"/>
        </w:rPr>
        <w:t xml:space="preserve">, por la que sigue: “el que además, deberá dar cumplimiento a lo establecido en la ley n°20.422, </w:t>
      </w:r>
      <w:r w:rsidR="00F235A9" w:rsidRPr="00F235A9">
        <w:t xml:space="preserve">debiendo asegurar la protección de los discapacitados visuales en el uso de productos farmacéuticos, con medidas tales como la rotulación con sistema braille del nombre de dichos productos y su fecha de </w:t>
      </w:r>
      <w:commentRangeStart w:id="5"/>
      <w:r w:rsidR="00F235A9" w:rsidRPr="00F235A9">
        <w:t>vencimiento</w:t>
      </w:r>
      <w:commentRangeEnd w:id="5"/>
      <w:r w:rsidR="00F235A9">
        <w:rPr>
          <w:rStyle w:val="Refdecomentario"/>
        </w:rPr>
        <w:commentReference w:id="5"/>
      </w:r>
      <w:r w:rsidR="00F235A9" w:rsidRPr="00F235A9">
        <w:t>”</w:t>
      </w:r>
    </w:p>
    <w:p w:rsidR="00296537" w:rsidRDefault="00296537" w:rsidP="00F235A9">
      <w:pPr>
        <w:pStyle w:val="Prrafodelista"/>
        <w:ind w:left="1440"/>
      </w:pPr>
    </w:p>
    <w:p w:rsidR="00296537" w:rsidRDefault="00296537" w:rsidP="00296537"/>
    <w:p w:rsidR="000F0571" w:rsidRDefault="000F0571"/>
    <w:sectPr w:rsidR="000F0571" w:rsidSect="000F0571">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Catalina" w:date="2017-07-31T00:40:00Z" w:initials="C">
    <w:p w:rsidR="00E97730" w:rsidRDefault="00E97730">
      <w:pPr>
        <w:pStyle w:val="Textocomentario"/>
      </w:pPr>
      <w:r>
        <w:rPr>
          <w:rStyle w:val="Refdecomentario"/>
        </w:rPr>
        <w:annotationRef/>
      </w:r>
      <w:r>
        <w:t xml:space="preserve">Considerando que se establece la obligación de contemplar envases clínicos para su distribución en establecimientos de asistencia médica y farmacias, facilitando así el fraccionamiento de los medicamentos, se impone correlativamente la obligación a las farmacias y establecimientos de asistencia médica de efectuarlo en los casos que corresponda, sin dejar espacio de discrecionalidad. </w:t>
      </w:r>
      <w:r w:rsidR="0091490E">
        <w:t xml:space="preserve">Se debe tener presente que </w:t>
      </w:r>
      <w:r>
        <w:t xml:space="preserve"> </w:t>
      </w:r>
      <w:r w:rsidR="0091490E">
        <w:rPr>
          <w:rFonts w:cs="Arial"/>
          <w:szCs w:val="24"/>
        </w:rPr>
        <w:t xml:space="preserve">el Ejecutivo ha optado por exigir a los laboratorios vender a las farmacias medicamentos en formatos de envases clínicos, que permitan facilitar el fraccionamiento. Se postula que el registro para que un medicamento pueda ser distribuido tiene que consignar el respectivo envase clínico al que podrán acceder las farmacias ( argumentación que consta en el segundo informe de la Comisión de salud), por lo que no parece lógico que el fraccionamiento previamente facilitado, dada la exigencia a nivel de origen, quede luego condicionado a la voluntad de las farmacias o establecimientos de asistencia médica. Junto con lo anterior, se debe tener presente la </w:t>
      </w:r>
      <w:proofErr w:type="spellStart"/>
      <w:r w:rsidR="0091490E">
        <w:rPr>
          <w:rFonts w:cs="Arial"/>
          <w:szCs w:val="24"/>
        </w:rPr>
        <w:t>modificiación</w:t>
      </w:r>
      <w:proofErr w:type="spellEnd"/>
      <w:r w:rsidR="0091490E">
        <w:rPr>
          <w:rFonts w:cs="Arial"/>
          <w:szCs w:val="24"/>
        </w:rPr>
        <w:t xml:space="preserve"> efectuada al artículo 129 A, donde se incluyó la frase: “Siempre procederá la venta fraccionada de medicamentos, conforme al reglamento.</w:t>
      </w:r>
    </w:p>
  </w:comment>
  <w:comment w:id="3" w:author="Catalina" w:date="2017-07-31T01:08:00Z" w:initials="C">
    <w:p w:rsidR="00C91F27" w:rsidRDefault="00C91F27">
      <w:pPr>
        <w:pStyle w:val="Textocomentario"/>
      </w:pPr>
      <w:r>
        <w:rPr>
          <w:rStyle w:val="Refdecomentario"/>
        </w:rPr>
        <w:annotationRef/>
      </w:r>
      <w:r>
        <w:t>Se establece la obligación de fraccionamiento de origen, en los casos que corresponda de acuerdo a la normativa vigente. Se intenta eliminar el espacio de discrecionalidad que hoy hace que el fraccionamiento de medicamentos no se realice, impactando en aproximadamente un promedio del 20% de aumento en los precios de los medicamentos que se adquieren.</w:t>
      </w:r>
    </w:p>
  </w:comment>
  <w:comment w:id="4" w:author="Catalina" w:date="2017-07-31T01:29:00Z" w:initials="C">
    <w:p w:rsidR="000E3062" w:rsidRDefault="000E3062">
      <w:pPr>
        <w:pStyle w:val="Textocomentario"/>
      </w:pPr>
      <w:r>
        <w:rPr>
          <w:rStyle w:val="Refdecomentario"/>
        </w:rPr>
        <w:annotationRef/>
      </w:r>
      <w:r>
        <w:t xml:space="preserve">Se propone regular el espacio que debe ocupar la DCI del medicamento, aumentando de 1/3 de  una de sus caras principales, a 1/3 de todas las que se consideren de tal característica, a fin de garantizar  mayor </w:t>
      </w:r>
      <w:r>
        <w:t>visibilidad</w:t>
      </w:r>
    </w:p>
  </w:comment>
  <w:comment w:id="5" w:author="Catalina" w:date="2017-07-31T01:20:00Z" w:initials="C">
    <w:p w:rsidR="00F235A9" w:rsidRPr="00F235A9" w:rsidRDefault="00F235A9" w:rsidP="00F235A9">
      <w:pPr>
        <w:pStyle w:val="Textocomentario"/>
      </w:pPr>
      <w:r>
        <w:rPr>
          <w:rStyle w:val="Refdecomentario"/>
        </w:rPr>
        <w:annotationRef/>
      </w:r>
      <w:r>
        <w:t>Se propone hacer alusión a lo que específicamente prescribe el artículo 32  de la ley 20.422</w:t>
      </w:r>
      <w:r w:rsidRPr="00F235A9">
        <w:rPr>
          <w:rFonts w:asciiTheme="minorHAnsi" w:hAnsiTheme="minorHAnsi"/>
          <w:sz w:val="22"/>
        </w:rPr>
        <w:t xml:space="preserve"> </w:t>
      </w:r>
      <w:r w:rsidRPr="00F235A9">
        <w:t xml:space="preserve">establece normas sobre igualdad de oportunidades e inclusión social de personas con </w:t>
      </w:r>
      <w:proofErr w:type="spellStart"/>
      <w:r w:rsidRPr="00F235A9">
        <w:t>discapacidad</w:t>
      </w:r>
      <w:r>
        <w:t>:</w:t>
      </w:r>
      <w:r w:rsidRPr="00F235A9">
        <w:rPr>
          <w:b/>
          <w:i/>
        </w:rPr>
        <w:t>Los</w:t>
      </w:r>
      <w:proofErr w:type="spellEnd"/>
      <w:r w:rsidRPr="00F235A9">
        <w:rPr>
          <w:b/>
          <w:i/>
        </w:rPr>
        <w:t xml:space="preserve"> reglamentos que fijen las normas de carácter sanitario</w:t>
      </w:r>
      <w:r w:rsidRPr="00F235A9">
        <w:t xml:space="preserve"> </w:t>
      </w:r>
      <w:r w:rsidRPr="00F235A9">
        <w:rPr>
          <w:b/>
          <w:i/>
        </w:rPr>
        <w:t>sobre producción, registro, almacenamiento, tenencia, distribución, venta e importación, según corresponda, así como las características de los productos farmacéuticos</w:t>
      </w:r>
      <w:r w:rsidRPr="00F235A9">
        <w:t xml:space="preserve">, alimentos de uso médico y cosméticos, </w:t>
      </w:r>
      <w:r w:rsidRPr="00F235A9">
        <w:rPr>
          <w:b/>
          <w:i/>
        </w:rPr>
        <w:t>deberán contener disposiciones que aseguren la debida protección de los discapacitados visuales</w:t>
      </w:r>
      <w:r w:rsidRPr="00F235A9">
        <w:t xml:space="preserve"> en el uso de dichos productos con medidas tales como la rotulación con sistema braille del nombre de dichos productos y su fecha de vencimiento”</w:t>
      </w:r>
      <w:r>
        <w:t>. Lo anterior, con el fin de establecer una obligación legal de cubrir dicho aspecto en el reglamento que se dicte al efecto.</w:t>
      </w:r>
    </w:p>
    <w:p w:rsidR="00F235A9" w:rsidRDefault="00F235A9">
      <w:pPr>
        <w:pStyle w:val="Textocomentario"/>
      </w:pP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45E8E"/>
    <w:multiLevelType w:val="hybridMultilevel"/>
    <w:tmpl w:val="0D4A295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E0AE0DF4">
      <w:start w:val="1"/>
      <w:numFmt w:val="decimal"/>
      <w:lvlText w:val="%3."/>
      <w:lvlJc w:val="left"/>
      <w:pPr>
        <w:tabs>
          <w:tab w:val="num" w:pos="2160"/>
        </w:tabs>
        <w:ind w:left="2160" w:hanging="360"/>
      </w:pPr>
      <w:rPr>
        <w:i w:val="0"/>
      </w:r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537"/>
    <w:rsid w:val="000E3062"/>
    <w:rsid w:val="000F0571"/>
    <w:rsid w:val="00296537"/>
    <w:rsid w:val="003008F1"/>
    <w:rsid w:val="0091490E"/>
    <w:rsid w:val="00C91F27"/>
    <w:rsid w:val="00E97730"/>
    <w:rsid w:val="00F235A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37"/>
    <w:pPr>
      <w:spacing w:after="0" w:line="240" w:lineRule="auto"/>
      <w:jc w:val="both"/>
    </w:pPr>
    <w:rPr>
      <w:rFonts w:ascii="Garamond" w:hAnsi="Garamond"/>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296537"/>
    <w:rPr>
      <w:sz w:val="20"/>
      <w:szCs w:val="20"/>
    </w:rPr>
  </w:style>
  <w:style w:type="character" w:customStyle="1" w:styleId="TextocomentarioCar">
    <w:name w:val="Texto comentario Car"/>
    <w:basedOn w:val="Fuentedeprrafopredeter"/>
    <w:link w:val="Textocomentario"/>
    <w:uiPriority w:val="99"/>
    <w:semiHidden/>
    <w:rsid w:val="00296537"/>
    <w:rPr>
      <w:rFonts w:ascii="Garamond" w:hAnsi="Garamond"/>
      <w:sz w:val="20"/>
      <w:szCs w:val="20"/>
    </w:rPr>
  </w:style>
  <w:style w:type="paragraph" w:styleId="Prrafodelista">
    <w:name w:val="List Paragraph"/>
    <w:basedOn w:val="Normal"/>
    <w:uiPriority w:val="34"/>
    <w:qFormat/>
    <w:rsid w:val="00296537"/>
    <w:pPr>
      <w:ind w:left="720"/>
      <w:contextualSpacing/>
    </w:pPr>
  </w:style>
  <w:style w:type="character" w:styleId="Refdecomentario">
    <w:name w:val="annotation reference"/>
    <w:basedOn w:val="Fuentedeprrafopredeter"/>
    <w:uiPriority w:val="99"/>
    <w:semiHidden/>
    <w:unhideWhenUsed/>
    <w:rsid w:val="00296537"/>
    <w:rPr>
      <w:sz w:val="16"/>
      <w:szCs w:val="16"/>
    </w:rPr>
  </w:style>
  <w:style w:type="paragraph" w:styleId="Textodeglobo">
    <w:name w:val="Balloon Text"/>
    <w:basedOn w:val="Normal"/>
    <w:link w:val="TextodegloboCar"/>
    <w:uiPriority w:val="99"/>
    <w:semiHidden/>
    <w:unhideWhenUsed/>
    <w:rsid w:val="00296537"/>
    <w:rPr>
      <w:rFonts w:ascii="Tahoma" w:hAnsi="Tahoma" w:cs="Tahoma"/>
      <w:sz w:val="16"/>
      <w:szCs w:val="16"/>
    </w:rPr>
  </w:style>
  <w:style w:type="character" w:customStyle="1" w:styleId="TextodegloboCar">
    <w:name w:val="Texto de globo Car"/>
    <w:basedOn w:val="Fuentedeprrafopredeter"/>
    <w:link w:val="Textodeglobo"/>
    <w:uiPriority w:val="99"/>
    <w:semiHidden/>
    <w:rsid w:val="00296537"/>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97730"/>
    <w:rPr>
      <w:b/>
      <w:bCs/>
    </w:rPr>
  </w:style>
  <w:style w:type="character" w:customStyle="1" w:styleId="AsuntodelcomentarioCar">
    <w:name w:val="Asunto del comentario Car"/>
    <w:basedOn w:val="TextocomentarioCar"/>
    <w:link w:val="Asuntodelcomentario"/>
    <w:uiPriority w:val="99"/>
    <w:semiHidden/>
    <w:rsid w:val="00E9773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229</Words>
  <Characters>1193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Catalina</cp:lastModifiedBy>
  <cp:revision>1</cp:revision>
  <dcterms:created xsi:type="dcterms:W3CDTF">2017-07-31T04:05:00Z</dcterms:created>
  <dcterms:modified xsi:type="dcterms:W3CDTF">2017-07-31T05:31:00Z</dcterms:modified>
</cp:coreProperties>
</file>