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0" w:rsidRPr="00EC0F2F" w:rsidRDefault="00F774F0" w:rsidP="00F774F0">
      <w:pPr>
        <w:jc w:val="center"/>
        <w:rPr>
          <w:rFonts w:ascii="Garamond" w:hAnsi="Garamond"/>
          <w:b/>
          <w:u w:val="single"/>
        </w:rPr>
      </w:pPr>
      <w:r w:rsidRPr="00EC0F2F">
        <w:rPr>
          <w:rFonts w:ascii="Garamond" w:hAnsi="Garamond"/>
          <w:b/>
          <w:u w:val="single"/>
        </w:rPr>
        <w:t>MINUTA</w:t>
      </w:r>
    </w:p>
    <w:p w:rsidR="00F774F0" w:rsidRPr="00EC0F2F" w:rsidRDefault="00F774F0" w:rsidP="00F774F0">
      <w:pPr>
        <w:jc w:val="center"/>
        <w:rPr>
          <w:rFonts w:ascii="Garamond" w:hAnsi="Garamond"/>
          <w:b/>
          <w:u w:val="single"/>
        </w:rPr>
      </w:pPr>
    </w:p>
    <w:p w:rsidR="00F774F0" w:rsidRPr="00F774F0" w:rsidRDefault="00F774F0" w:rsidP="00F774F0">
      <w:pPr>
        <w:jc w:val="both"/>
        <w:rPr>
          <w:rFonts w:ascii="Garamond" w:hAnsi="Garamond"/>
          <w:b/>
          <w:i/>
          <w:lang w:val="es-CL"/>
        </w:rPr>
      </w:pPr>
      <w:r w:rsidRPr="00F774F0">
        <w:rPr>
          <w:rFonts w:ascii="Garamond" w:hAnsi="Garamond"/>
          <w:b/>
          <w:i/>
          <w:lang w:val="es-CL"/>
        </w:rPr>
        <w:t xml:space="preserve">Proyecto de Ley que aumenta el régimen de protección a fiscales titulares,  subrogantes, suplentes y delegados del ministerio público y  sanciona  conductas que afecten su integridad física o psíquica o su patrimonio, realizadas en razón de su cargo o con motivo u ocasión del ejercicio de sus funciones, resguarda antecedentes personales e incorpora a abogados asesores. </w:t>
      </w:r>
    </w:p>
    <w:p w:rsidR="00F774F0" w:rsidRPr="00F774F0" w:rsidRDefault="00F774F0" w:rsidP="00F774F0">
      <w:pPr>
        <w:jc w:val="both"/>
        <w:rPr>
          <w:rFonts w:ascii="Garamond" w:hAnsi="Garamond"/>
          <w:lang w:val="es-CL"/>
        </w:rPr>
      </w:pPr>
    </w:p>
    <w:p w:rsidR="00F774F0" w:rsidRPr="00F774F0" w:rsidRDefault="00F774F0" w:rsidP="00F774F0">
      <w:pPr>
        <w:jc w:val="both"/>
        <w:rPr>
          <w:rFonts w:ascii="Garamond" w:hAnsi="Garamond"/>
          <w:lang w:val="es-CL"/>
        </w:rPr>
      </w:pPr>
      <w:r w:rsidRPr="00F774F0">
        <w:rPr>
          <w:rFonts w:ascii="Garamond" w:hAnsi="Garamond"/>
          <w:lang w:val="es-CL"/>
        </w:rPr>
        <w:t xml:space="preserve">Desde su creación, mediante Reforma Constitucional del año 1997, al Ministerio Público se le ha reconocido y asignado privativamente la función de dirigir la investigación, todo sin perjuicio de ser auxiliado en su ejercicio, tanto por Carabineros de Chile como Policía de Investigaciones de Chile, quienes apoyan y ejecutan medidas prácticas – ordenes de investigar o instrucciones particulares - en las áreas de investigación, realización de diligencias y aplicación de medidas restrictivas de la libertad cuando así se decretare, todo ello reconocido también por nuestra Norma Constitucional. </w:t>
      </w:r>
    </w:p>
    <w:p w:rsidR="00F774F0" w:rsidRPr="00F774F0" w:rsidRDefault="00F774F0" w:rsidP="00F774F0">
      <w:pPr>
        <w:jc w:val="both"/>
        <w:rPr>
          <w:rFonts w:ascii="Garamond" w:hAnsi="Garamond"/>
          <w:lang w:val="es-CL"/>
        </w:rPr>
      </w:pPr>
    </w:p>
    <w:p w:rsidR="00F774F0" w:rsidRDefault="00F774F0" w:rsidP="00F774F0">
      <w:pPr>
        <w:jc w:val="both"/>
        <w:rPr>
          <w:rFonts w:ascii="Garamond" w:hAnsi="Garamond"/>
          <w:lang w:val="es-CL"/>
        </w:rPr>
      </w:pPr>
      <w:r w:rsidRPr="00F774F0">
        <w:rPr>
          <w:rFonts w:ascii="Garamond" w:hAnsi="Garamond"/>
          <w:lang w:val="es-CL"/>
        </w:rPr>
        <w:t>Considerando que la atribución mencionada constituye- a la vez- un imperativo en la mayoría de los casos, y que el área en la que se circunscribe corresponde al ámbito penal, mismo en que se manifiestan las conductas que revisten mayor peligrosidad, es que la preocupación por la seguridad y el resguardo de los funcionarios tanto del Ministerio Público como de sus órganos auxiliares, ha desencadenado una serie de planteamientos y modificaciones al régimen jurídico vigente, en busca de robustecer el sistema de protección a quienes se enfrenta día a día a conductas delictuales.</w:t>
      </w:r>
    </w:p>
    <w:p w:rsidR="00F774F0" w:rsidRDefault="00F774F0" w:rsidP="00F774F0">
      <w:pPr>
        <w:jc w:val="both"/>
        <w:rPr>
          <w:rFonts w:ascii="Garamond" w:hAnsi="Garamond"/>
          <w:lang w:val="es-CL"/>
        </w:rPr>
      </w:pPr>
    </w:p>
    <w:p w:rsidR="00F774F0" w:rsidRPr="00F774F0" w:rsidRDefault="00F774F0" w:rsidP="00F774F0">
      <w:pPr>
        <w:jc w:val="both"/>
        <w:rPr>
          <w:rFonts w:ascii="Garamond" w:hAnsi="Garamond"/>
          <w:lang w:val="es-CL"/>
        </w:rPr>
      </w:pPr>
      <w:r w:rsidRPr="00F774F0">
        <w:rPr>
          <w:rFonts w:ascii="Garamond" w:hAnsi="Garamond"/>
          <w:lang w:val="es-CL"/>
        </w:rPr>
        <w:t xml:space="preserve">Un Estado de Derecho Democrático supone el ejercicio legítimo de las potestades públicas, pero también supone las condiciones mínimas para que quienes detentan esas potestades puedan actuar en forma independiente. </w:t>
      </w:r>
    </w:p>
    <w:p w:rsidR="00F774F0" w:rsidRDefault="00F774F0" w:rsidP="00F774F0">
      <w:pPr>
        <w:jc w:val="both"/>
        <w:rPr>
          <w:rFonts w:ascii="Garamond" w:hAnsi="Garamond"/>
          <w:lang w:val="es-CL"/>
        </w:rPr>
      </w:pPr>
    </w:p>
    <w:p w:rsidR="00F774F0" w:rsidRPr="00F774F0" w:rsidRDefault="00F774F0" w:rsidP="00F774F0">
      <w:pPr>
        <w:jc w:val="both"/>
        <w:rPr>
          <w:rFonts w:ascii="Garamond" w:hAnsi="Garamond"/>
          <w:b/>
          <w:u w:val="single"/>
          <w:lang w:val="es-CL"/>
        </w:rPr>
      </w:pPr>
      <w:r w:rsidRPr="00F774F0">
        <w:rPr>
          <w:rFonts w:ascii="Garamond" w:hAnsi="Garamond"/>
          <w:b/>
          <w:u w:val="single"/>
          <w:lang w:val="es-CL"/>
        </w:rPr>
        <w:t>Reformas legislativas en materia de protección a personal del Ministerio Público y de los órganos auxiliares de investigación (Policía de Investigaciones y Carabineros de Chile)</w:t>
      </w:r>
    </w:p>
    <w:p w:rsidR="00F774F0" w:rsidRDefault="00F774F0" w:rsidP="00F774F0">
      <w:pPr>
        <w:jc w:val="both"/>
        <w:rPr>
          <w:rFonts w:ascii="Garamond" w:hAnsi="Garamond"/>
          <w:b/>
          <w:i/>
          <w:lang w:val="es-CL"/>
        </w:rPr>
      </w:pPr>
    </w:p>
    <w:p w:rsidR="00F774F0" w:rsidRDefault="00F774F0" w:rsidP="00F774F0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CL"/>
        </w:rPr>
      </w:pPr>
      <w:r>
        <w:rPr>
          <w:rFonts w:ascii="Garamond" w:hAnsi="Garamond"/>
          <w:b/>
          <w:i/>
          <w:lang w:val="es-CL"/>
        </w:rPr>
        <w:t>Ley</w:t>
      </w:r>
      <w:r w:rsidRPr="00F774F0">
        <w:rPr>
          <w:rFonts w:ascii="Garamond" w:hAnsi="Garamond"/>
          <w:b/>
          <w:i/>
          <w:lang w:val="es-CL"/>
        </w:rPr>
        <w:t xml:space="preserve"> N° 20.064, publicada en el año 2005 y que</w:t>
      </w:r>
      <w:r w:rsidRPr="00F774F0">
        <w:rPr>
          <w:rFonts w:ascii="Garamond" w:hAnsi="Garamond"/>
          <w:b/>
          <w:bCs/>
          <w:i/>
          <w:lang w:val="es-CL"/>
        </w:rPr>
        <w:t xml:space="preserve"> </w:t>
      </w:r>
      <w:r w:rsidRPr="00F774F0">
        <w:rPr>
          <w:rFonts w:ascii="Garamond" w:hAnsi="Garamond"/>
          <w:b/>
          <w:i/>
          <w:lang w:val="es-CL"/>
        </w:rPr>
        <w:t>aumenta las penas en los casos de delitos de maltrato de obra a carabineros con resultado de muerte o lesiones graves</w:t>
      </w:r>
      <w:r w:rsidRPr="00F774F0">
        <w:rPr>
          <w:rFonts w:ascii="Garamond" w:hAnsi="Garamond"/>
          <w:lang w:val="es-CL"/>
        </w:rPr>
        <w:t>, modificó el Código de Justicia Militar y el decreto ley Nº 2.460, de 1979, ley orgánica de la Policía de Investigaciones de Chile, para brindar mayor protección a los funcionarios de las policías uniformada y civil. Conforme a sus preceptos, los atentados contra los agentes de la policía son penalizados con privación de libertad que puede ir desde presidio menor en su grado mínimo a presidio perpetuo calificado</w:t>
      </w:r>
    </w:p>
    <w:p w:rsidR="00D15ACB" w:rsidRDefault="00D15ACB" w:rsidP="00D15ACB">
      <w:pPr>
        <w:pStyle w:val="Prrafodelista"/>
        <w:jc w:val="both"/>
        <w:rPr>
          <w:rFonts w:ascii="Garamond" w:hAnsi="Garamond"/>
          <w:lang w:val="es-CL"/>
        </w:rPr>
      </w:pPr>
    </w:p>
    <w:p w:rsidR="009A7B88" w:rsidRDefault="00D15ACB" w:rsidP="009A7B88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CL"/>
        </w:rPr>
      </w:pPr>
      <w:r w:rsidRPr="009A7B88">
        <w:rPr>
          <w:rFonts w:ascii="Garamond" w:hAnsi="Garamond"/>
          <w:b/>
          <w:i/>
          <w:lang w:val="es-CL"/>
        </w:rPr>
        <w:t xml:space="preserve">Ley 20.236 (año 2007), que sanciona delitos cometidos contra Fiscales del Ministerio Público y los defensores de la defensoría penal pública, en el ejercicio de sus funciones: </w:t>
      </w:r>
      <w:r w:rsidR="009A7B88" w:rsidRPr="009A7B88">
        <w:rPr>
          <w:rFonts w:ascii="Garamond" w:hAnsi="Garamond"/>
          <w:lang w:val="es-CL"/>
        </w:rPr>
        <w:t>Mediante la modificación</w:t>
      </w:r>
      <w:r w:rsidRPr="009A7B88">
        <w:rPr>
          <w:rFonts w:ascii="Garamond" w:hAnsi="Garamond"/>
          <w:lang w:val="es-CL"/>
        </w:rPr>
        <w:t xml:space="preserve"> </w:t>
      </w:r>
      <w:r w:rsidR="009A7B88" w:rsidRPr="009A7B88">
        <w:rPr>
          <w:rFonts w:ascii="Garamond" w:hAnsi="Garamond"/>
          <w:lang w:val="es-CL"/>
        </w:rPr>
        <w:t>d</w:t>
      </w:r>
      <w:r w:rsidRPr="009A7B88">
        <w:rPr>
          <w:rFonts w:ascii="Garamond" w:hAnsi="Garamond"/>
          <w:lang w:val="es-CL"/>
        </w:rPr>
        <w:t>el Código Penal, con el objeto de sancionar en forma específica los atentados cometidos en contra de los Fiscales del Ministerio Público y los defensores penales públicos</w:t>
      </w:r>
      <w:r w:rsidR="009A7B88" w:rsidRPr="009A7B88">
        <w:rPr>
          <w:rFonts w:ascii="Garamond" w:hAnsi="Garamond"/>
          <w:lang w:val="es-CL"/>
        </w:rPr>
        <w:t xml:space="preserve"> se optó por aplicar</w:t>
      </w:r>
      <w:r w:rsidRPr="009A7B88">
        <w:rPr>
          <w:rFonts w:ascii="Garamond" w:hAnsi="Garamond"/>
          <w:lang w:val="es-CL"/>
        </w:rPr>
        <w:t xml:space="preserve"> en estas situaciones</w:t>
      </w:r>
      <w:r w:rsidR="009A7B88" w:rsidRPr="009A7B88">
        <w:rPr>
          <w:rFonts w:ascii="Garamond" w:hAnsi="Garamond"/>
          <w:lang w:val="es-CL"/>
        </w:rPr>
        <w:t>,</w:t>
      </w:r>
      <w:r w:rsidRPr="009A7B88">
        <w:rPr>
          <w:rFonts w:ascii="Garamond" w:hAnsi="Garamond"/>
          <w:lang w:val="es-CL"/>
        </w:rPr>
        <w:t xml:space="preserve"> los mismos criterios fijados por la ley N° 20.064, que modificó el Código de Justicia Militar y la ley orgánica de la Policía de Investigaciones</w:t>
      </w:r>
      <w:r w:rsidR="009A7B88">
        <w:rPr>
          <w:rFonts w:ascii="Garamond" w:hAnsi="Garamond"/>
          <w:lang w:val="es-CL"/>
        </w:rPr>
        <w:t xml:space="preserve">. </w:t>
      </w:r>
      <w:r w:rsidR="009A7B88" w:rsidRPr="009A7B88">
        <w:rPr>
          <w:rFonts w:ascii="Garamond" w:hAnsi="Garamond"/>
          <w:lang w:val="es-CL"/>
        </w:rPr>
        <w:t xml:space="preserve">Tal como señala el </w:t>
      </w:r>
      <w:r w:rsidR="009A7B88" w:rsidRPr="009A7B88">
        <w:rPr>
          <w:rFonts w:ascii="Garamond" w:hAnsi="Garamond"/>
          <w:lang w:val="es-CL"/>
        </w:rPr>
        <w:lastRenderedPageBreak/>
        <w:t>Mensaje que le dio origen, el sustento de la iniciativa no solo radicó en unificar criterios y seguir una línea coherente de protección a los diversos actores del proceso penal, sino que también consideró “los atentados y las amenazas sufridos en el último tiempo por distintos Fiscales del Ministerio Público y por defensores públicos, incluidos los abogados que ejercen la defensa penal en virtud de licitación, que son de conocimiento público</w:t>
      </w:r>
      <w:r w:rsidR="00AF6D57" w:rsidRPr="009A7B88">
        <w:rPr>
          <w:rFonts w:ascii="Garamond" w:hAnsi="Garamond"/>
          <w:lang w:val="es-CL"/>
        </w:rPr>
        <w:t>”.</w:t>
      </w:r>
    </w:p>
    <w:p w:rsidR="00AF6D57" w:rsidRPr="00AF6D57" w:rsidRDefault="00AF6D57" w:rsidP="00AF6D57">
      <w:pPr>
        <w:pStyle w:val="Prrafodelista"/>
        <w:rPr>
          <w:rFonts w:ascii="Garamond" w:hAnsi="Garamond"/>
          <w:lang w:val="es-CL"/>
        </w:rPr>
      </w:pPr>
    </w:p>
    <w:p w:rsidR="00AF6D57" w:rsidRPr="00AF6D57" w:rsidRDefault="00AF6D57" w:rsidP="009A7B88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CL"/>
        </w:rPr>
      </w:pPr>
      <w:r w:rsidRPr="00AF6D57">
        <w:rPr>
          <w:rFonts w:ascii="Garamond" w:hAnsi="Garamond"/>
          <w:b/>
          <w:i/>
          <w:lang w:val="es-ES"/>
        </w:rPr>
        <w:t>Ley 20861, que modificó el artículo 2 de la ley 19640, Orgánica Constitucional del Ministerio Público, permitiendo a los Abogados Asistentes realizar actuaciones procesales ante los Juzgados de Garantía, a fin de que comparezcan en audiencia</w:t>
      </w:r>
      <w:r>
        <w:rPr>
          <w:rFonts w:ascii="Garamond" w:hAnsi="Garamond"/>
          <w:b/>
          <w:i/>
          <w:lang w:val="es-ES"/>
        </w:rPr>
        <w:t xml:space="preserve">: </w:t>
      </w:r>
      <w:r w:rsidRPr="00AF6D57">
        <w:rPr>
          <w:rFonts w:ascii="Garamond" w:hAnsi="Garamond"/>
          <w:lang w:val="es-ES"/>
        </w:rPr>
        <w:t xml:space="preserve">Si bien la normativa permite </w:t>
      </w:r>
      <w:r>
        <w:rPr>
          <w:rFonts w:ascii="Garamond" w:hAnsi="Garamond"/>
          <w:lang w:val="es-ES"/>
        </w:rPr>
        <w:t xml:space="preserve">otorgar apoyo en audiencias a los Fiscales titulares, pudiendo avocar mayor cantidad de tiempo a la dirección de la investigación, </w:t>
      </w:r>
      <w:r w:rsidRPr="00AF6D57">
        <w:rPr>
          <w:rFonts w:ascii="Garamond" w:hAnsi="Garamond"/>
          <w:lang w:val="es-ES"/>
        </w:rPr>
        <w:t>sólo se limitó al estamentos de Abogados Asistentes, no considerando otro estamento que es el de los Abogados Asesores, quienes conforman un importante equipo de asesoría de cada Fiscalía Regional</w:t>
      </w:r>
    </w:p>
    <w:p w:rsidR="00F774F0" w:rsidRPr="00AF6D57" w:rsidRDefault="00F774F0" w:rsidP="009A7B88">
      <w:pPr>
        <w:ind w:left="360"/>
        <w:jc w:val="both"/>
        <w:rPr>
          <w:rFonts w:ascii="Garamond" w:hAnsi="Garamond"/>
          <w:lang w:val="es-CL"/>
        </w:rPr>
      </w:pPr>
    </w:p>
    <w:p w:rsidR="009A7B88" w:rsidRPr="009A7B88" w:rsidRDefault="009A7B88" w:rsidP="009A7B88">
      <w:pPr>
        <w:ind w:left="360"/>
        <w:jc w:val="both"/>
        <w:rPr>
          <w:rFonts w:ascii="Garamond" w:hAnsi="Garamond"/>
          <w:lang w:val="es-CL"/>
        </w:rPr>
      </w:pPr>
      <w:r w:rsidRPr="009A7B88">
        <w:rPr>
          <w:rFonts w:ascii="Garamond" w:hAnsi="Garamond"/>
          <w:lang w:val="es-CL"/>
        </w:rPr>
        <w:t xml:space="preserve">Sin perjuicio de los importantes avances que se han logrado en materia de protección de agentes que participan directamente </w:t>
      </w:r>
      <w:r>
        <w:rPr>
          <w:rFonts w:ascii="Garamond" w:hAnsi="Garamond"/>
          <w:lang w:val="es-CL"/>
        </w:rPr>
        <w:t>en la investigación de delitos</w:t>
      </w:r>
      <w:r w:rsidRPr="009A7B88">
        <w:rPr>
          <w:rFonts w:ascii="Garamond" w:hAnsi="Garamond"/>
          <w:lang w:val="es-CL"/>
        </w:rPr>
        <w:t>,</w:t>
      </w:r>
      <w:r w:rsidRPr="009A7B88">
        <w:rPr>
          <w:rFonts w:ascii="Garamond" w:eastAsiaTheme="minorHAnsi" w:hAnsi="Garamond"/>
          <w:color w:val="000000" w:themeColor="text1"/>
          <w:lang w:val="es-CL" w:eastAsia="en-US"/>
        </w:rPr>
        <w:t xml:space="preserve"> </w:t>
      </w:r>
      <w:r>
        <w:rPr>
          <w:rFonts w:ascii="Garamond" w:hAnsi="Garamond"/>
          <w:lang w:val="es-CL"/>
        </w:rPr>
        <w:t xml:space="preserve">hoy </w:t>
      </w:r>
      <w:r w:rsidRPr="009A7B88">
        <w:rPr>
          <w:rFonts w:ascii="Garamond" w:hAnsi="Garamond"/>
          <w:lang w:val="es-CL"/>
        </w:rPr>
        <w:t>no solo son agredidos en el marco del desempeño de sus funciones, sino que- muchas veces- son blancos de agresión por el solo hecho de detentar el cargo.</w:t>
      </w:r>
    </w:p>
    <w:p w:rsidR="00AF6D57" w:rsidRDefault="00AF6D57" w:rsidP="009A7B88">
      <w:pPr>
        <w:ind w:left="360"/>
        <w:jc w:val="both"/>
        <w:rPr>
          <w:rFonts w:ascii="Garamond" w:hAnsi="Garamond"/>
          <w:b/>
          <w:i/>
          <w:lang w:val="es-CL"/>
        </w:rPr>
      </w:pPr>
    </w:p>
    <w:p w:rsidR="00AF6D57" w:rsidRDefault="00AF6D57" w:rsidP="00AF6D57">
      <w:pPr>
        <w:ind w:left="360"/>
        <w:jc w:val="both"/>
        <w:rPr>
          <w:rFonts w:ascii="Garamond" w:hAnsi="Garamond"/>
          <w:lang w:val="es-CL"/>
        </w:rPr>
      </w:pPr>
      <w:r w:rsidRPr="00AF6D57">
        <w:rPr>
          <w:rFonts w:ascii="Garamond" w:hAnsi="Garamond"/>
          <w:lang w:val="es-CL"/>
        </w:rPr>
        <w:t>A lo anterior, se suma el fenómeno de la violencia rural que se desarrolla en la actualidad, mayoritariamente al sur de nuestro país</w:t>
      </w:r>
      <w:r>
        <w:rPr>
          <w:rFonts w:ascii="Garamond" w:hAnsi="Garamond"/>
          <w:lang w:val="es-CL"/>
        </w:rPr>
        <w:t>, siendo</w:t>
      </w:r>
      <w:r w:rsidRPr="00AF6D57">
        <w:rPr>
          <w:rFonts w:ascii="Garamond" w:hAnsi="Garamond"/>
          <w:lang w:val="es-CL"/>
        </w:rPr>
        <w:t xml:space="preserve"> </w:t>
      </w:r>
      <w:r>
        <w:rPr>
          <w:rFonts w:ascii="Garamond" w:hAnsi="Garamond"/>
          <w:lang w:val="es-CL"/>
        </w:rPr>
        <w:t>e</w:t>
      </w:r>
      <w:r w:rsidRPr="00AF6D57">
        <w:rPr>
          <w:rFonts w:ascii="Garamond" w:hAnsi="Garamond"/>
          <w:lang w:val="es-CL"/>
        </w:rPr>
        <w:t xml:space="preserve"> una de las situaciones más complejas en lo que se refiere al déficit de protección de los funcionarios perten</w:t>
      </w:r>
      <w:r>
        <w:rPr>
          <w:rFonts w:ascii="Garamond" w:hAnsi="Garamond"/>
          <w:lang w:val="es-CL"/>
        </w:rPr>
        <w:t>ecientes al Ministerio Público, junto con el</w:t>
      </w:r>
      <w:r w:rsidRPr="00AF6D57">
        <w:rPr>
          <w:rFonts w:ascii="Garamond" w:hAnsi="Garamond"/>
          <w:lang w:val="es-CL"/>
        </w:rPr>
        <w:t xml:space="preserve"> déficit de seguridad en las inmediaciones de los Tribunales de Justicia y la falta de condiciones necesarias para el desarrollo de audiencias de alta complejidad, </w:t>
      </w:r>
      <w:r>
        <w:rPr>
          <w:rFonts w:ascii="Garamond" w:hAnsi="Garamond"/>
          <w:lang w:val="es-CL"/>
        </w:rPr>
        <w:t>lo que significa</w:t>
      </w:r>
      <w:r w:rsidRPr="00AF6D57">
        <w:rPr>
          <w:rFonts w:ascii="Garamond" w:hAnsi="Garamond"/>
          <w:lang w:val="es-CL"/>
        </w:rPr>
        <w:t xml:space="preserve"> un problema generalizado a lo largo de todo Chile.</w:t>
      </w:r>
    </w:p>
    <w:p w:rsidR="00AF6D57" w:rsidRDefault="00AF6D57" w:rsidP="00AF6D57">
      <w:pPr>
        <w:ind w:left="360"/>
        <w:jc w:val="both"/>
        <w:rPr>
          <w:rFonts w:ascii="Garamond" w:hAnsi="Garamond"/>
          <w:lang w:val="es-CL"/>
        </w:rPr>
      </w:pPr>
    </w:p>
    <w:p w:rsidR="00AF6D57" w:rsidRDefault="00AF6D57" w:rsidP="00AF6D57">
      <w:pPr>
        <w:ind w:left="360"/>
        <w:jc w:val="both"/>
        <w:rPr>
          <w:rFonts w:ascii="Garamond" w:hAnsi="Garamond"/>
          <w:lang w:val="es-CL"/>
        </w:rPr>
      </w:pPr>
      <w:r>
        <w:rPr>
          <w:rFonts w:ascii="Garamond" w:hAnsi="Garamond"/>
          <w:lang w:val="es-CL"/>
        </w:rPr>
        <w:t>Por las consideraciones detalladas anteriormente, es que se ha optado por proponer una nueva modificación a los diversos cuerpos legales que regulan la actividad y la protección de los funcionarios que día a día se exponen en forma directa a las diversas situaciones de peligro inherentes a la actividad de investigación y persecución penal, a fin de asegurar un estatuto integro de seguridad que permita un correcto desarrollo de sus funciones.</w:t>
      </w:r>
    </w:p>
    <w:p w:rsidR="00AF6D57" w:rsidRDefault="00AF6D57" w:rsidP="00AF6D57">
      <w:pPr>
        <w:ind w:left="360"/>
        <w:jc w:val="both"/>
        <w:rPr>
          <w:rFonts w:ascii="Garamond" w:hAnsi="Garamond"/>
          <w:lang w:val="es-CL"/>
        </w:rPr>
      </w:pPr>
    </w:p>
    <w:p w:rsidR="00AF6D57" w:rsidRDefault="00AF6D57" w:rsidP="00AF6D57">
      <w:pPr>
        <w:ind w:left="360"/>
        <w:jc w:val="both"/>
        <w:rPr>
          <w:rFonts w:ascii="Garamond" w:hAnsi="Garamond"/>
          <w:b/>
          <w:i/>
          <w:u w:val="single"/>
          <w:lang w:val="es-CL"/>
        </w:rPr>
      </w:pPr>
      <w:r w:rsidRPr="00AF6D57">
        <w:rPr>
          <w:rFonts w:ascii="Garamond" w:hAnsi="Garamond"/>
          <w:b/>
          <w:i/>
          <w:u w:val="single"/>
          <w:lang w:val="es-CL"/>
        </w:rPr>
        <w:t>Modificaciones propuestas a los diversos textos legales</w:t>
      </w:r>
    </w:p>
    <w:p w:rsidR="00AF6D57" w:rsidRDefault="00AF6D57" w:rsidP="00AF6D57">
      <w:pPr>
        <w:ind w:left="360"/>
        <w:jc w:val="both"/>
        <w:rPr>
          <w:rFonts w:ascii="Garamond" w:hAnsi="Garamond"/>
          <w:b/>
          <w:i/>
          <w:u w:val="single"/>
          <w:lang w:val="es-CL"/>
        </w:rPr>
      </w:pPr>
    </w:p>
    <w:p w:rsidR="00AF6D57" w:rsidRPr="00C36159" w:rsidRDefault="00AF6D57" w:rsidP="00AF6D57">
      <w:pPr>
        <w:pStyle w:val="Prrafodelista"/>
        <w:numPr>
          <w:ilvl w:val="0"/>
          <w:numId w:val="14"/>
        </w:numPr>
        <w:jc w:val="both"/>
        <w:rPr>
          <w:rFonts w:ascii="Garamond" w:hAnsi="Garamond"/>
          <w:b/>
          <w:lang w:val="es-CL"/>
        </w:rPr>
      </w:pPr>
      <w:r w:rsidRPr="00C36159">
        <w:rPr>
          <w:rFonts w:ascii="Garamond" w:hAnsi="Garamond"/>
          <w:b/>
          <w:lang w:val="es-CL"/>
        </w:rPr>
        <w:t>Modificaciones al Código Penal:</w:t>
      </w:r>
    </w:p>
    <w:p w:rsidR="00AF6D57" w:rsidRDefault="00AF6D57" w:rsidP="00AF6D57">
      <w:pPr>
        <w:pStyle w:val="Prrafodelista"/>
        <w:jc w:val="both"/>
        <w:rPr>
          <w:rFonts w:ascii="Garamond" w:hAnsi="Garamond"/>
          <w:lang w:val="es-CL"/>
        </w:rPr>
      </w:pPr>
    </w:p>
    <w:p w:rsidR="00AF6D57" w:rsidRDefault="001C7080" w:rsidP="00AF6D57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CL"/>
        </w:rPr>
      </w:pPr>
      <w:r>
        <w:rPr>
          <w:rFonts w:ascii="Garamond" w:hAnsi="Garamond"/>
          <w:lang w:val="es-CL"/>
        </w:rPr>
        <w:t xml:space="preserve">Se incorpora un nuevo tipo penal, descrito en el nuevo artículo 268 </w:t>
      </w:r>
      <w:proofErr w:type="spellStart"/>
      <w:r>
        <w:rPr>
          <w:rFonts w:ascii="Garamond" w:hAnsi="Garamond"/>
          <w:lang w:val="es-CL"/>
        </w:rPr>
        <w:t>sexies</w:t>
      </w:r>
      <w:proofErr w:type="spellEnd"/>
      <w:r>
        <w:rPr>
          <w:rFonts w:ascii="Garamond" w:hAnsi="Garamond"/>
          <w:lang w:val="es-CL"/>
        </w:rPr>
        <w:t xml:space="preserve">, que busca sancionar a quienes </w:t>
      </w:r>
      <w:r w:rsidRPr="001C7080">
        <w:rPr>
          <w:rFonts w:ascii="Garamond" w:hAnsi="Garamond"/>
          <w:lang w:val="es-CL"/>
        </w:rPr>
        <w:t>causare</w:t>
      </w:r>
      <w:r>
        <w:rPr>
          <w:rFonts w:ascii="Garamond" w:hAnsi="Garamond"/>
          <w:lang w:val="es-CL"/>
        </w:rPr>
        <w:t>n</w:t>
      </w:r>
      <w:r w:rsidRPr="001C7080">
        <w:rPr>
          <w:rFonts w:ascii="Garamond" w:hAnsi="Garamond"/>
          <w:lang w:val="es-CL"/>
        </w:rPr>
        <w:t xml:space="preserve"> daños en el patrimonio de un fiscal del ministerio público, en razón de su cargo o con motivo u ocasión del ejercicio de sus funciones</w:t>
      </w:r>
      <w:r>
        <w:rPr>
          <w:rFonts w:ascii="Garamond" w:hAnsi="Garamond"/>
          <w:lang w:val="es-CL"/>
        </w:rPr>
        <w:t xml:space="preserve">, con penas de van desde reclusión menor en su grado mínimo hasta reclusión menor en su grado máximo, y multas pecuniarias que fluctúan entre cuatro y 20 Unidades Tributarias Mensuales, dependiendo de la </w:t>
      </w:r>
      <w:proofErr w:type="spellStart"/>
      <w:r>
        <w:rPr>
          <w:rFonts w:ascii="Garamond" w:hAnsi="Garamond"/>
          <w:lang w:val="es-CL"/>
        </w:rPr>
        <w:t>avaluación</w:t>
      </w:r>
      <w:proofErr w:type="spellEnd"/>
      <w:r>
        <w:rPr>
          <w:rFonts w:ascii="Garamond" w:hAnsi="Garamond"/>
          <w:lang w:val="es-CL"/>
        </w:rPr>
        <w:t xml:space="preserve"> patrimonial del daño causado.</w:t>
      </w:r>
    </w:p>
    <w:p w:rsidR="001C7080" w:rsidRDefault="001C7080" w:rsidP="001C7080">
      <w:pPr>
        <w:pStyle w:val="Prrafodelista"/>
        <w:jc w:val="both"/>
        <w:rPr>
          <w:rFonts w:ascii="Garamond" w:hAnsi="Garamond"/>
          <w:lang w:val="es-CL"/>
        </w:rPr>
      </w:pPr>
    </w:p>
    <w:p w:rsidR="001C7080" w:rsidRDefault="001C7080" w:rsidP="00AF6D57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CL"/>
        </w:rPr>
      </w:pPr>
      <w:r>
        <w:rPr>
          <w:rFonts w:ascii="Garamond" w:hAnsi="Garamond"/>
          <w:lang w:val="es-CL"/>
        </w:rPr>
        <w:lastRenderedPageBreak/>
        <w:t xml:space="preserve">Se incorpora como sujeto pasivo de los tipos penales ya existentes </w:t>
      </w:r>
      <w:r w:rsidR="002352B6">
        <w:rPr>
          <w:rFonts w:ascii="Garamond" w:hAnsi="Garamond"/>
          <w:lang w:val="es-CL"/>
        </w:rPr>
        <w:t xml:space="preserve">(268 ter, </w:t>
      </w:r>
      <w:proofErr w:type="spellStart"/>
      <w:r w:rsidR="002352B6">
        <w:rPr>
          <w:rFonts w:ascii="Garamond" w:hAnsi="Garamond"/>
          <w:lang w:val="es-CL"/>
        </w:rPr>
        <w:t>quá</w:t>
      </w:r>
      <w:r>
        <w:rPr>
          <w:rFonts w:ascii="Garamond" w:hAnsi="Garamond"/>
          <w:lang w:val="es-CL"/>
        </w:rPr>
        <w:t>ter</w:t>
      </w:r>
      <w:proofErr w:type="spellEnd"/>
      <w:r>
        <w:rPr>
          <w:rFonts w:ascii="Garamond" w:hAnsi="Garamond"/>
          <w:lang w:val="es-CL"/>
        </w:rPr>
        <w:t xml:space="preserve"> y </w:t>
      </w:r>
      <w:proofErr w:type="spellStart"/>
      <w:r>
        <w:rPr>
          <w:rFonts w:ascii="Garamond" w:hAnsi="Garamond"/>
          <w:lang w:val="es-CL"/>
        </w:rPr>
        <w:t>quinquies</w:t>
      </w:r>
      <w:proofErr w:type="spellEnd"/>
      <w:r>
        <w:rPr>
          <w:rFonts w:ascii="Garamond" w:hAnsi="Garamond"/>
          <w:lang w:val="es-CL"/>
        </w:rPr>
        <w:t xml:space="preserve">) a los fiscales que ejerzan funciones en calidad de </w:t>
      </w:r>
      <w:r w:rsidRPr="001C7080">
        <w:rPr>
          <w:rFonts w:ascii="Garamond" w:hAnsi="Garamond"/>
          <w:lang w:val="es-CL"/>
        </w:rPr>
        <w:t>titular, subrogante, suplente o delegado</w:t>
      </w:r>
      <w:r>
        <w:rPr>
          <w:rFonts w:ascii="Garamond" w:hAnsi="Garamond"/>
          <w:lang w:val="es-CL"/>
        </w:rPr>
        <w:t>.</w:t>
      </w:r>
    </w:p>
    <w:p w:rsidR="001C7080" w:rsidRPr="001C7080" w:rsidRDefault="001C7080" w:rsidP="001C7080">
      <w:pPr>
        <w:pStyle w:val="Prrafodelista"/>
        <w:rPr>
          <w:rFonts w:ascii="Garamond" w:hAnsi="Garamond"/>
          <w:lang w:val="es-CL"/>
        </w:rPr>
      </w:pPr>
    </w:p>
    <w:p w:rsidR="001C7080" w:rsidRDefault="001C7080" w:rsidP="00AF6D57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CL"/>
        </w:rPr>
      </w:pPr>
      <w:r w:rsidRPr="001C7080">
        <w:rPr>
          <w:rFonts w:ascii="Garamond" w:hAnsi="Garamond"/>
          <w:lang w:val="es-CL"/>
        </w:rPr>
        <w:t>S</w:t>
      </w:r>
      <w:r>
        <w:rPr>
          <w:rFonts w:ascii="Garamond" w:hAnsi="Garamond"/>
          <w:lang w:val="es-CL"/>
        </w:rPr>
        <w:t>e sustituye</w:t>
      </w:r>
      <w:r w:rsidRPr="001C7080">
        <w:rPr>
          <w:rFonts w:ascii="Garamond" w:hAnsi="Garamond"/>
          <w:lang w:val="es-CL"/>
        </w:rPr>
        <w:t xml:space="preserve"> la expresión “en razón del ejercicio de sus funciones”, por la expresión “en razón de su cargo o con motivo u ocasión del ejercicio de sus funciones</w:t>
      </w:r>
      <w:r>
        <w:rPr>
          <w:rFonts w:ascii="Garamond" w:hAnsi="Garamond"/>
          <w:lang w:val="es-CL"/>
        </w:rPr>
        <w:t>”, a fin de sancionar a quienes atenten en contra del patrimonio o la integridad física o psíquica de los Fiscales del Ministerio Público, ya no solo en la circunstancia de encontrarse ejerciendo sus funciones, sino también por el solo hecho de detentar el cargo.</w:t>
      </w:r>
    </w:p>
    <w:p w:rsidR="001C7080" w:rsidRPr="001C7080" w:rsidRDefault="001C7080" w:rsidP="001C7080">
      <w:pPr>
        <w:pStyle w:val="Prrafodelista"/>
        <w:rPr>
          <w:rFonts w:ascii="Garamond" w:hAnsi="Garamond"/>
          <w:lang w:val="es-CL"/>
        </w:rPr>
      </w:pPr>
    </w:p>
    <w:p w:rsidR="001C7080" w:rsidRDefault="001C7080" w:rsidP="001C7080">
      <w:pPr>
        <w:pStyle w:val="Prrafodelista"/>
        <w:jc w:val="both"/>
        <w:rPr>
          <w:rFonts w:ascii="Garamond" w:hAnsi="Garamond"/>
          <w:lang w:val="es-CL"/>
        </w:rPr>
      </w:pPr>
    </w:p>
    <w:p w:rsidR="001C7080" w:rsidRPr="00C36159" w:rsidRDefault="002352B6" w:rsidP="001C7080">
      <w:pPr>
        <w:pStyle w:val="Prrafodelista"/>
        <w:numPr>
          <w:ilvl w:val="0"/>
          <w:numId w:val="14"/>
        </w:numPr>
        <w:jc w:val="both"/>
        <w:rPr>
          <w:rFonts w:ascii="Garamond" w:hAnsi="Garamond"/>
          <w:b/>
          <w:lang w:val="es-CL"/>
        </w:rPr>
      </w:pPr>
      <w:r w:rsidRPr="00C36159">
        <w:rPr>
          <w:rFonts w:ascii="Garamond" w:hAnsi="Garamond"/>
          <w:b/>
          <w:lang w:val="es-CL"/>
        </w:rPr>
        <w:t>Modificación</w:t>
      </w:r>
      <w:r w:rsidR="001C7080" w:rsidRPr="00C36159">
        <w:rPr>
          <w:rFonts w:ascii="Garamond" w:hAnsi="Garamond"/>
          <w:b/>
          <w:lang w:val="es-CL"/>
        </w:rPr>
        <w:t xml:space="preserve"> al Decreto Ley N° 2859, de fecha 15 de septiembre de 1979 que fija la Ley Orgánica Constitucional de Gendarmería de Chile:</w:t>
      </w:r>
    </w:p>
    <w:p w:rsidR="001C7080" w:rsidRDefault="001C7080" w:rsidP="001C7080">
      <w:pPr>
        <w:pStyle w:val="Prrafodelista"/>
        <w:jc w:val="both"/>
        <w:rPr>
          <w:rFonts w:ascii="Garamond" w:hAnsi="Garamond"/>
          <w:lang w:val="es-CL"/>
        </w:rPr>
      </w:pPr>
    </w:p>
    <w:p w:rsidR="001C7080" w:rsidRDefault="001C7080" w:rsidP="001C7080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CL"/>
        </w:rPr>
      </w:pPr>
      <w:r>
        <w:rPr>
          <w:rFonts w:ascii="Garamond" w:hAnsi="Garamond"/>
          <w:lang w:val="es-CL"/>
        </w:rPr>
        <w:t>Se incorp</w:t>
      </w:r>
      <w:r w:rsidR="002352B6">
        <w:rPr>
          <w:rFonts w:ascii="Garamond" w:hAnsi="Garamond"/>
          <w:lang w:val="es-CL"/>
        </w:rPr>
        <w:t>ora, dentro de las funciones ya contempladas por la normativa</w:t>
      </w:r>
      <w:r w:rsidR="002352B6">
        <w:rPr>
          <w:rStyle w:val="Refdenotaalpie"/>
          <w:rFonts w:ascii="Garamond" w:hAnsi="Garamond"/>
          <w:lang w:val="es-CL"/>
        </w:rPr>
        <w:footnoteReference w:id="1"/>
      </w:r>
      <w:r w:rsidR="002352B6">
        <w:rPr>
          <w:rFonts w:ascii="Garamond" w:hAnsi="Garamond"/>
          <w:lang w:val="es-CL"/>
        </w:rPr>
        <w:t xml:space="preserve">, el deber de gendarmería de </w:t>
      </w:r>
      <w:r w:rsidR="002352B6" w:rsidRPr="002352B6">
        <w:rPr>
          <w:rFonts w:ascii="Garamond" w:hAnsi="Garamond"/>
          <w:lang w:val="es-CL"/>
        </w:rPr>
        <w:t>resguardar la seguridad de los Fiscales y/o funcionarios del Ministerio Público y de los demás intervinientes que se encuentren presentes</w:t>
      </w:r>
      <w:r w:rsidR="002352B6">
        <w:rPr>
          <w:rFonts w:ascii="Garamond" w:hAnsi="Garamond"/>
          <w:lang w:val="es-CL"/>
        </w:rPr>
        <w:t xml:space="preserve">, </w:t>
      </w:r>
      <w:r w:rsidR="002352B6" w:rsidRPr="002352B6">
        <w:rPr>
          <w:rFonts w:ascii="Garamond" w:hAnsi="Garamond"/>
          <w:lang w:val="es-CL"/>
        </w:rPr>
        <w:t>durante el desarrollo de las audiencias ante los Juzgados de Garantía y de Juicio Oral en Lo Penal</w:t>
      </w:r>
      <w:r w:rsidR="002352B6">
        <w:rPr>
          <w:rFonts w:ascii="Garamond" w:hAnsi="Garamond"/>
          <w:lang w:val="es-CL"/>
        </w:rPr>
        <w:t>.</w:t>
      </w:r>
    </w:p>
    <w:p w:rsidR="002352B6" w:rsidRDefault="002352B6" w:rsidP="002352B6">
      <w:pPr>
        <w:ind w:left="360"/>
        <w:jc w:val="both"/>
        <w:rPr>
          <w:rFonts w:ascii="Garamond" w:hAnsi="Garamond"/>
          <w:lang w:val="es-CL"/>
        </w:rPr>
      </w:pPr>
    </w:p>
    <w:p w:rsidR="002352B6" w:rsidRPr="00C36159" w:rsidRDefault="002352B6" w:rsidP="002352B6">
      <w:pPr>
        <w:pStyle w:val="Prrafodelista"/>
        <w:numPr>
          <w:ilvl w:val="0"/>
          <w:numId w:val="14"/>
        </w:numPr>
        <w:rPr>
          <w:rFonts w:ascii="Garamond" w:hAnsi="Garamond"/>
          <w:b/>
          <w:lang w:val="es-CL"/>
        </w:rPr>
      </w:pPr>
      <w:r w:rsidRPr="00C36159">
        <w:rPr>
          <w:rFonts w:ascii="Garamond" w:hAnsi="Garamond"/>
          <w:b/>
          <w:lang w:val="es-CL"/>
        </w:rPr>
        <w:t>Modificación a la Ley 18.961, Ley Orgánica Constitucional de Carabineros de Chile:</w:t>
      </w:r>
    </w:p>
    <w:p w:rsidR="002352B6" w:rsidRDefault="002352B6" w:rsidP="002352B6">
      <w:pPr>
        <w:pStyle w:val="Prrafodelista"/>
        <w:rPr>
          <w:rFonts w:ascii="Garamond" w:hAnsi="Garamond"/>
          <w:lang w:val="es-CL"/>
        </w:rPr>
      </w:pPr>
    </w:p>
    <w:p w:rsidR="002352B6" w:rsidRDefault="002352B6" w:rsidP="002352B6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CL"/>
        </w:rPr>
      </w:pPr>
      <w:r w:rsidRPr="002352B6">
        <w:rPr>
          <w:rFonts w:ascii="Garamond" w:hAnsi="Garamond"/>
          <w:lang w:val="es-CL"/>
        </w:rPr>
        <w:t>Se incorpora, dentro de las funciones ya contempladas por la normativa</w:t>
      </w:r>
      <w:r>
        <w:rPr>
          <w:rStyle w:val="Refdenotaalpie"/>
          <w:rFonts w:ascii="Garamond" w:hAnsi="Garamond"/>
          <w:lang w:val="es-CL"/>
        </w:rPr>
        <w:footnoteReference w:id="2"/>
      </w:r>
      <w:r w:rsidRPr="002352B6">
        <w:rPr>
          <w:rFonts w:ascii="Garamond" w:hAnsi="Garamond"/>
          <w:lang w:val="es-CL"/>
        </w:rPr>
        <w:t>, el deber de Carabineros de Chile resguardar la seguridad personal de los Fiscales del y/o funcionarios Ministerio Público, en aquellos casos en que participen de diligencias investigativas que puedan significar un peligro para su integridad física o psíquica, como también de los demás intervinientes presentes durante el desarrollo de éstas</w:t>
      </w:r>
      <w:r>
        <w:rPr>
          <w:rFonts w:ascii="Garamond" w:hAnsi="Garamond"/>
          <w:lang w:val="es-CL"/>
        </w:rPr>
        <w:t>.</w:t>
      </w:r>
    </w:p>
    <w:p w:rsidR="002352B6" w:rsidRDefault="002352B6" w:rsidP="002352B6">
      <w:pPr>
        <w:ind w:left="360"/>
        <w:jc w:val="both"/>
        <w:rPr>
          <w:rFonts w:ascii="Garamond" w:hAnsi="Garamond"/>
          <w:lang w:val="es-CL"/>
        </w:rPr>
      </w:pPr>
    </w:p>
    <w:p w:rsidR="002352B6" w:rsidRPr="00C36159" w:rsidRDefault="002352B6" w:rsidP="002352B6">
      <w:pPr>
        <w:pStyle w:val="Prrafodelista"/>
        <w:numPr>
          <w:ilvl w:val="0"/>
          <w:numId w:val="14"/>
        </w:numPr>
        <w:jc w:val="both"/>
        <w:rPr>
          <w:rFonts w:ascii="Garamond" w:hAnsi="Garamond"/>
          <w:b/>
          <w:lang w:val="es-CL"/>
        </w:rPr>
      </w:pPr>
      <w:r w:rsidRPr="00C36159">
        <w:rPr>
          <w:rFonts w:ascii="Garamond" w:hAnsi="Garamond"/>
          <w:b/>
          <w:lang w:val="es-CL"/>
        </w:rPr>
        <w:t>Modificación al Decreto Ley N° 2460 de fecha 24 de enero de 1979, Ley Orgánica Constitucional de la Policía de Investigaciones de Chile.</w:t>
      </w:r>
    </w:p>
    <w:p w:rsidR="002352B6" w:rsidRDefault="002352B6" w:rsidP="002352B6">
      <w:pPr>
        <w:pStyle w:val="Prrafodelista"/>
        <w:jc w:val="both"/>
        <w:rPr>
          <w:rFonts w:ascii="Garamond" w:hAnsi="Garamond"/>
          <w:lang w:val="es-CL"/>
        </w:rPr>
      </w:pPr>
    </w:p>
    <w:p w:rsidR="002352B6" w:rsidRDefault="002352B6" w:rsidP="002352B6">
      <w:pPr>
        <w:pStyle w:val="Prrafodelista"/>
        <w:numPr>
          <w:ilvl w:val="0"/>
          <w:numId w:val="11"/>
        </w:numPr>
        <w:ind w:left="360"/>
        <w:jc w:val="both"/>
        <w:rPr>
          <w:rFonts w:ascii="Garamond" w:hAnsi="Garamond"/>
          <w:lang w:val="es-CL"/>
        </w:rPr>
      </w:pPr>
      <w:r w:rsidRPr="00A0384E">
        <w:rPr>
          <w:rFonts w:ascii="Garamond" w:hAnsi="Garamond"/>
          <w:lang w:val="es-CL"/>
        </w:rPr>
        <w:lastRenderedPageBreak/>
        <w:t>Se incorpora, dentro de las funciones ya contempladas por la normativa</w:t>
      </w:r>
      <w:r w:rsidR="00A0384E">
        <w:rPr>
          <w:rStyle w:val="Refdenotaalpie"/>
          <w:rFonts w:ascii="Garamond" w:hAnsi="Garamond"/>
          <w:lang w:val="es-CL"/>
        </w:rPr>
        <w:footnoteReference w:id="3"/>
      </w:r>
      <w:r w:rsidRPr="00A0384E">
        <w:rPr>
          <w:rFonts w:ascii="Garamond" w:hAnsi="Garamond"/>
          <w:lang w:val="es-CL"/>
        </w:rPr>
        <w:t xml:space="preserve"> el deber de </w:t>
      </w:r>
      <w:r w:rsidR="00A0384E" w:rsidRPr="00A0384E">
        <w:rPr>
          <w:rFonts w:ascii="Garamond" w:hAnsi="Garamond"/>
          <w:lang w:val="es-CL"/>
        </w:rPr>
        <w:t xml:space="preserve">Policía de Investigaciones </w:t>
      </w:r>
      <w:r w:rsidRPr="00A0384E">
        <w:rPr>
          <w:rFonts w:ascii="Garamond" w:hAnsi="Garamond"/>
          <w:lang w:val="es-CL"/>
        </w:rPr>
        <w:t>de Chile</w:t>
      </w:r>
      <w:r w:rsidR="00A0384E" w:rsidRPr="00A0384E">
        <w:rPr>
          <w:rFonts w:ascii="Garamond" w:hAnsi="Garamond"/>
          <w:lang w:val="es-CL"/>
        </w:rPr>
        <w:t>, de</w:t>
      </w:r>
      <w:r w:rsidRPr="00A0384E">
        <w:rPr>
          <w:rFonts w:ascii="Garamond" w:hAnsi="Garamond"/>
          <w:lang w:val="es-CL"/>
        </w:rPr>
        <w:t xml:space="preserve"> </w:t>
      </w:r>
      <w:r w:rsidR="00A0384E" w:rsidRPr="00A0384E">
        <w:rPr>
          <w:rFonts w:ascii="Garamond" w:hAnsi="Garamond"/>
          <w:lang w:val="es-CL"/>
        </w:rPr>
        <w:t>resguardar la seguridad personal de los Fiscales y/o funcionarios del Ministerio Público, en aquellos casos en que participen de diligencias investigativas que puedan significar un peligro para su integridad física o psíquica, como también de los demás intervinientes presentes durante el desarrollo de éstas</w:t>
      </w:r>
    </w:p>
    <w:p w:rsidR="00A0384E" w:rsidRDefault="00A0384E" w:rsidP="00A0384E">
      <w:pPr>
        <w:jc w:val="both"/>
        <w:rPr>
          <w:rFonts w:ascii="Garamond" w:hAnsi="Garamond"/>
          <w:lang w:val="es-CL"/>
        </w:rPr>
      </w:pPr>
    </w:p>
    <w:p w:rsidR="00A0384E" w:rsidRPr="00C36159" w:rsidRDefault="00A0384E" w:rsidP="00A0384E">
      <w:pPr>
        <w:pStyle w:val="Prrafodelista"/>
        <w:numPr>
          <w:ilvl w:val="0"/>
          <w:numId w:val="14"/>
        </w:numPr>
        <w:jc w:val="both"/>
        <w:rPr>
          <w:rFonts w:ascii="Garamond" w:hAnsi="Garamond"/>
          <w:b/>
          <w:lang w:val="es-CL"/>
        </w:rPr>
      </w:pPr>
      <w:r w:rsidRPr="00C36159">
        <w:rPr>
          <w:rFonts w:ascii="Garamond" w:hAnsi="Garamond"/>
          <w:b/>
          <w:lang w:val="es-CL"/>
        </w:rPr>
        <w:t>Modificaciones en la ley 19.640 de fecha 15 de octubre de 1999 Ley Orgánica Constitucional del Ministerio Público.</w:t>
      </w:r>
    </w:p>
    <w:p w:rsidR="00A0384E" w:rsidRDefault="00A0384E" w:rsidP="00A0384E">
      <w:pPr>
        <w:pStyle w:val="Prrafodelista"/>
        <w:jc w:val="both"/>
        <w:rPr>
          <w:rFonts w:ascii="Garamond" w:hAnsi="Garamond"/>
          <w:lang w:val="es-CL"/>
        </w:rPr>
      </w:pPr>
    </w:p>
    <w:p w:rsidR="00A0384E" w:rsidRDefault="00A0384E" w:rsidP="00A0384E">
      <w:pPr>
        <w:pStyle w:val="Prrafodelista"/>
        <w:numPr>
          <w:ilvl w:val="0"/>
          <w:numId w:val="11"/>
        </w:numPr>
        <w:ind w:left="360"/>
        <w:jc w:val="both"/>
        <w:rPr>
          <w:rFonts w:ascii="Garamond" w:hAnsi="Garamond"/>
          <w:lang w:val="es-CL"/>
        </w:rPr>
      </w:pPr>
      <w:r w:rsidRPr="00A0384E">
        <w:rPr>
          <w:rFonts w:ascii="Garamond" w:hAnsi="Garamond"/>
          <w:lang w:val="es-CL"/>
        </w:rPr>
        <w:t xml:space="preserve">Se </w:t>
      </w:r>
      <w:r>
        <w:rPr>
          <w:rFonts w:ascii="Garamond" w:hAnsi="Garamond"/>
          <w:lang w:val="es-CL"/>
        </w:rPr>
        <w:t>modifica su artículo 17, a fin de establecer una norma correlativa a las modificaciones efectuadas en las leyes orgánicas constitucionales de Carabineros, Policía y Gendarmería de Chile, contemplando la facultad de</w:t>
      </w:r>
      <w:r w:rsidRPr="00A0384E">
        <w:rPr>
          <w:rFonts w:ascii="Garamond" w:eastAsiaTheme="minorHAnsi" w:hAnsi="Garamond"/>
          <w:color w:val="000000" w:themeColor="text1"/>
          <w:lang w:val="es-CL" w:eastAsia="en-US"/>
        </w:rPr>
        <w:t xml:space="preserve"> </w:t>
      </w:r>
      <w:r>
        <w:rPr>
          <w:rFonts w:ascii="Garamond" w:hAnsi="Garamond"/>
          <w:lang w:val="es-CL"/>
        </w:rPr>
        <w:t>r</w:t>
      </w:r>
      <w:r w:rsidRPr="00A0384E">
        <w:rPr>
          <w:rFonts w:ascii="Garamond" w:hAnsi="Garamond"/>
          <w:lang w:val="es-CL"/>
        </w:rPr>
        <w:t>equerir a que disponga</w:t>
      </w:r>
      <w:r>
        <w:rPr>
          <w:rFonts w:ascii="Garamond" w:hAnsi="Garamond"/>
          <w:lang w:val="es-CL"/>
        </w:rPr>
        <w:t>n</w:t>
      </w:r>
      <w:r w:rsidRPr="00A0384E">
        <w:rPr>
          <w:rFonts w:ascii="Garamond" w:hAnsi="Garamond"/>
          <w:lang w:val="es-CL"/>
        </w:rPr>
        <w:t xml:space="preserve"> las medidas de resguardo necesarias en dependencias del Ministerio Público</w:t>
      </w:r>
      <w:r>
        <w:rPr>
          <w:rFonts w:ascii="Garamond" w:hAnsi="Garamond"/>
          <w:lang w:val="es-CL"/>
        </w:rPr>
        <w:t xml:space="preserve"> y </w:t>
      </w:r>
      <w:r w:rsidRPr="00A0384E">
        <w:rPr>
          <w:rFonts w:ascii="Garamond" w:hAnsi="Garamond"/>
          <w:lang w:val="es-CL"/>
        </w:rPr>
        <w:t xml:space="preserve">la designación de un oficial coordinador en el ámbito </w:t>
      </w:r>
      <w:r>
        <w:rPr>
          <w:rFonts w:ascii="Garamond" w:hAnsi="Garamond"/>
          <w:lang w:val="es-CL"/>
        </w:rPr>
        <w:tab/>
      </w:r>
      <w:r w:rsidRPr="00A0384E">
        <w:rPr>
          <w:rFonts w:ascii="Garamond" w:hAnsi="Garamond"/>
          <w:lang w:val="es-CL"/>
        </w:rPr>
        <w:t>administrativo y de comunicaciones con el respectivo mando regional.</w:t>
      </w:r>
    </w:p>
    <w:p w:rsidR="00A0384E" w:rsidRDefault="00A0384E" w:rsidP="00A0384E">
      <w:pPr>
        <w:pStyle w:val="Prrafodelista"/>
        <w:numPr>
          <w:ilvl w:val="0"/>
          <w:numId w:val="11"/>
        </w:numPr>
        <w:ind w:left="360"/>
        <w:jc w:val="both"/>
        <w:rPr>
          <w:rFonts w:ascii="Garamond" w:hAnsi="Garamond"/>
          <w:lang w:val="es-CL"/>
        </w:rPr>
      </w:pPr>
      <w:r>
        <w:rPr>
          <w:rFonts w:ascii="Garamond" w:hAnsi="Garamond"/>
          <w:lang w:val="es-CL"/>
        </w:rPr>
        <w:t xml:space="preserve">A fin de incorporar el estatuto de Abogados Asesores, se modifica el actual artículo 2, a fin de establecer que </w:t>
      </w:r>
      <w:r w:rsidRPr="00A0384E">
        <w:rPr>
          <w:rFonts w:ascii="Garamond" w:hAnsi="Garamond"/>
          <w:lang w:val="es-CL"/>
        </w:rPr>
        <w:t>el Ministerio Público también podrá realizar sus actuaciones procesales ante los tribunales de garantía, a través de los abogados asistentes de fiscal y de los abogados asesores, con excepción de la comparecencia a las audiencias de juicio oral</w:t>
      </w:r>
      <w:r>
        <w:rPr>
          <w:rFonts w:ascii="Garamond" w:hAnsi="Garamond"/>
          <w:lang w:val="es-CL"/>
        </w:rPr>
        <w:t>.</w:t>
      </w:r>
    </w:p>
    <w:p w:rsidR="00A0384E" w:rsidRDefault="00A0384E" w:rsidP="00A0384E">
      <w:pPr>
        <w:pStyle w:val="Prrafodelista"/>
        <w:ind w:left="360"/>
        <w:jc w:val="both"/>
        <w:rPr>
          <w:rFonts w:ascii="Garamond" w:hAnsi="Garamond"/>
          <w:lang w:val="es-CL"/>
        </w:rPr>
      </w:pPr>
    </w:p>
    <w:p w:rsidR="00A0384E" w:rsidRPr="00C36159" w:rsidRDefault="00A0384E" w:rsidP="00A0384E">
      <w:pPr>
        <w:pStyle w:val="Prrafodelista"/>
        <w:numPr>
          <w:ilvl w:val="0"/>
          <w:numId w:val="14"/>
        </w:numPr>
        <w:rPr>
          <w:rFonts w:ascii="Garamond" w:hAnsi="Garamond"/>
          <w:b/>
          <w:lang w:val="es-CL"/>
        </w:rPr>
      </w:pPr>
      <w:r w:rsidRPr="00C36159">
        <w:rPr>
          <w:rFonts w:ascii="Garamond" w:hAnsi="Garamond"/>
          <w:b/>
          <w:lang w:val="es-CL"/>
        </w:rPr>
        <w:t>Modificaciones en la ley 19.628 sobre protección de la vida privada.</w:t>
      </w:r>
    </w:p>
    <w:p w:rsidR="00A0384E" w:rsidRDefault="00A0384E" w:rsidP="00A0384E">
      <w:pPr>
        <w:pStyle w:val="Prrafodelista"/>
        <w:rPr>
          <w:rFonts w:ascii="Garamond" w:hAnsi="Garamond"/>
          <w:lang w:val="es-CL"/>
        </w:rPr>
      </w:pPr>
    </w:p>
    <w:p w:rsidR="00A0384E" w:rsidRDefault="00A0384E" w:rsidP="00A0384E">
      <w:pPr>
        <w:pStyle w:val="Prrafodelista"/>
        <w:numPr>
          <w:ilvl w:val="0"/>
          <w:numId w:val="11"/>
        </w:numPr>
        <w:ind w:left="360"/>
        <w:jc w:val="both"/>
        <w:rPr>
          <w:rFonts w:ascii="Garamond" w:hAnsi="Garamond"/>
          <w:lang w:val="es-CL"/>
        </w:rPr>
      </w:pPr>
      <w:r>
        <w:rPr>
          <w:rFonts w:ascii="Garamond" w:hAnsi="Garamond"/>
          <w:lang w:val="es-CL"/>
        </w:rPr>
        <w:t xml:space="preserve">Se contempla una </w:t>
      </w:r>
      <w:r w:rsidR="00C36159">
        <w:rPr>
          <w:rFonts w:ascii="Garamond" w:hAnsi="Garamond"/>
          <w:lang w:val="es-CL"/>
        </w:rPr>
        <w:t>modificación</w:t>
      </w:r>
      <w:r>
        <w:rPr>
          <w:rFonts w:ascii="Garamond" w:hAnsi="Garamond"/>
          <w:lang w:val="es-CL"/>
        </w:rPr>
        <w:t xml:space="preserve"> al actu</w:t>
      </w:r>
      <w:r w:rsidR="00C36159">
        <w:rPr>
          <w:rFonts w:ascii="Garamond" w:hAnsi="Garamond"/>
          <w:lang w:val="es-CL"/>
        </w:rPr>
        <w:t>al artículo 4, dirigida a proteger los datos personales de los Fiscales que hayan sido recopilados desde fuentes accesibles al público</w:t>
      </w:r>
    </w:p>
    <w:p w:rsidR="00A0384E" w:rsidRDefault="00A0384E" w:rsidP="00A0384E">
      <w:pPr>
        <w:pStyle w:val="Prrafodelista"/>
        <w:rPr>
          <w:rFonts w:ascii="Garamond" w:hAnsi="Garamond"/>
          <w:lang w:val="es-CL"/>
        </w:rPr>
      </w:pPr>
    </w:p>
    <w:p w:rsidR="00A0384E" w:rsidRPr="00A0384E" w:rsidRDefault="00A0384E" w:rsidP="00A0384E">
      <w:pPr>
        <w:pStyle w:val="Prrafodelista"/>
        <w:rPr>
          <w:rFonts w:ascii="Garamond" w:hAnsi="Garamond"/>
          <w:lang w:val="es-CL"/>
        </w:rPr>
      </w:pPr>
    </w:p>
    <w:p w:rsidR="00A0384E" w:rsidRPr="00A0384E" w:rsidRDefault="00A0384E" w:rsidP="00A0384E">
      <w:pPr>
        <w:pStyle w:val="Prrafodelista"/>
        <w:jc w:val="both"/>
        <w:rPr>
          <w:rFonts w:ascii="Garamond" w:hAnsi="Garamond"/>
          <w:lang w:val="es-CL"/>
        </w:rPr>
      </w:pPr>
    </w:p>
    <w:p w:rsidR="00A0384E" w:rsidRDefault="00A0384E" w:rsidP="00A0384E">
      <w:pPr>
        <w:jc w:val="both"/>
        <w:rPr>
          <w:rFonts w:ascii="Garamond" w:hAnsi="Garamond"/>
          <w:lang w:val="es-CL"/>
        </w:rPr>
      </w:pPr>
    </w:p>
    <w:p w:rsidR="00A0384E" w:rsidRPr="00A0384E" w:rsidRDefault="00A0384E" w:rsidP="00A0384E">
      <w:pPr>
        <w:pStyle w:val="Prrafodelista"/>
        <w:jc w:val="both"/>
        <w:rPr>
          <w:rFonts w:ascii="Garamond" w:hAnsi="Garamond"/>
          <w:lang w:val="es-CL"/>
        </w:rPr>
      </w:pPr>
    </w:p>
    <w:p w:rsidR="002352B6" w:rsidRPr="002352B6" w:rsidRDefault="002352B6" w:rsidP="002352B6">
      <w:pPr>
        <w:pStyle w:val="Prrafodelista"/>
        <w:jc w:val="both"/>
        <w:rPr>
          <w:rFonts w:ascii="Garamond" w:hAnsi="Garamond"/>
          <w:lang w:val="es-CL"/>
        </w:rPr>
      </w:pPr>
    </w:p>
    <w:p w:rsidR="002352B6" w:rsidRPr="002352B6" w:rsidRDefault="002352B6" w:rsidP="002352B6">
      <w:pPr>
        <w:pStyle w:val="Prrafodelista"/>
        <w:jc w:val="both"/>
        <w:rPr>
          <w:rFonts w:ascii="Garamond" w:hAnsi="Garamond"/>
          <w:lang w:val="es-CL"/>
        </w:rPr>
      </w:pPr>
    </w:p>
    <w:p w:rsidR="00AF6D57" w:rsidRPr="00AF6D57" w:rsidRDefault="00AF6D57" w:rsidP="00AF6D57">
      <w:pPr>
        <w:ind w:left="360"/>
        <w:jc w:val="both"/>
        <w:rPr>
          <w:rFonts w:ascii="Garamond" w:hAnsi="Garamond"/>
          <w:lang w:val="es-CL"/>
        </w:rPr>
      </w:pPr>
    </w:p>
    <w:p w:rsidR="009A7B88" w:rsidRPr="00AF6D57" w:rsidRDefault="009A7B88" w:rsidP="009A7B88">
      <w:pPr>
        <w:ind w:left="360"/>
        <w:jc w:val="both"/>
        <w:rPr>
          <w:rFonts w:ascii="Garamond" w:hAnsi="Garamond"/>
          <w:b/>
          <w:i/>
          <w:lang w:val="es-CL"/>
        </w:rPr>
      </w:pPr>
    </w:p>
    <w:p w:rsidR="00F774F0" w:rsidRPr="00EC0F2F" w:rsidRDefault="00F774F0" w:rsidP="00F774F0">
      <w:pPr>
        <w:jc w:val="both"/>
        <w:rPr>
          <w:rFonts w:ascii="Garamond" w:hAnsi="Garamond"/>
          <w:lang w:val="es-CL"/>
        </w:rPr>
      </w:pPr>
    </w:p>
    <w:p w:rsidR="00F774F0" w:rsidRPr="00EC0F2F" w:rsidRDefault="00F774F0" w:rsidP="00F774F0">
      <w:pPr>
        <w:pStyle w:val="Prrafodelista"/>
        <w:ind w:left="0"/>
        <w:jc w:val="both"/>
        <w:rPr>
          <w:rFonts w:ascii="Garamond" w:hAnsi="Garamond"/>
          <w:lang w:val="es-CL"/>
        </w:rPr>
      </w:pPr>
    </w:p>
    <w:p w:rsidR="00F774F0" w:rsidRPr="00EC0F2F" w:rsidRDefault="00F774F0" w:rsidP="00F774F0">
      <w:pPr>
        <w:jc w:val="both"/>
        <w:rPr>
          <w:rFonts w:ascii="Garamond" w:hAnsi="Garamond"/>
          <w:b/>
          <w:i/>
          <w:lang w:val="es-CL"/>
        </w:rPr>
      </w:pPr>
    </w:p>
    <w:p w:rsidR="00F774F0" w:rsidRPr="00EC0F2F" w:rsidRDefault="00F774F0" w:rsidP="00F774F0">
      <w:pPr>
        <w:pStyle w:val="Prrafodelista"/>
        <w:jc w:val="both"/>
        <w:rPr>
          <w:rFonts w:ascii="Garamond" w:hAnsi="Garamond"/>
          <w:b/>
          <w:i/>
          <w:lang w:val="es-ES"/>
        </w:rPr>
      </w:pPr>
    </w:p>
    <w:p w:rsidR="00F774F0" w:rsidRPr="00EC0F2F" w:rsidRDefault="00F774F0" w:rsidP="00F774F0">
      <w:pPr>
        <w:jc w:val="both"/>
        <w:rPr>
          <w:rFonts w:ascii="Garamond" w:hAnsi="Garamond"/>
          <w:lang w:val="es-ES"/>
        </w:rPr>
      </w:pPr>
    </w:p>
    <w:p w:rsidR="00F774F0" w:rsidRPr="00EC0F2F" w:rsidRDefault="00F774F0" w:rsidP="00F774F0">
      <w:pPr>
        <w:ind w:left="360"/>
        <w:jc w:val="both"/>
        <w:rPr>
          <w:rFonts w:ascii="Garamond" w:hAnsi="Garamond"/>
          <w:lang w:val="es-CL"/>
        </w:rPr>
      </w:pPr>
    </w:p>
    <w:p w:rsidR="00F774F0" w:rsidRPr="00EC0F2F" w:rsidRDefault="00F774F0" w:rsidP="00F774F0">
      <w:pPr>
        <w:pStyle w:val="Prrafodelista"/>
        <w:ind w:left="0"/>
        <w:jc w:val="both"/>
        <w:rPr>
          <w:rFonts w:ascii="Garamond" w:hAnsi="Garamond"/>
          <w:lang w:val="es-ES"/>
        </w:rPr>
      </w:pPr>
    </w:p>
    <w:p w:rsidR="00F774F0" w:rsidRPr="00EC0F2F" w:rsidRDefault="00F774F0" w:rsidP="00F774F0">
      <w:pPr>
        <w:pStyle w:val="Prrafodelista"/>
        <w:ind w:left="0"/>
        <w:jc w:val="both"/>
        <w:rPr>
          <w:rFonts w:ascii="Garamond" w:hAnsi="Garamond"/>
          <w:b/>
          <w:i/>
          <w:u w:val="single"/>
          <w:lang w:val="es-ES"/>
        </w:rPr>
      </w:pPr>
    </w:p>
    <w:p w:rsidR="00F774F0" w:rsidRPr="00EC0F2F" w:rsidRDefault="00F774F0" w:rsidP="00F774F0">
      <w:pPr>
        <w:jc w:val="both"/>
        <w:rPr>
          <w:rFonts w:ascii="Garamond" w:hAnsi="Garamond"/>
          <w:lang w:val="es-ES"/>
        </w:rPr>
      </w:pPr>
    </w:p>
    <w:p w:rsidR="00F774F0" w:rsidRPr="00EC0F2F" w:rsidRDefault="00F774F0" w:rsidP="00F774F0">
      <w:pPr>
        <w:pStyle w:val="Prrafodelista"/>
        <w:ind w:left="0"/>
        <w:jc w:val="both"/>
        <w:rPr>
          <w:rFonts w:ascii="Garamond" w:hAnsi="Garamond"/>
          <w:lang w:val="es-ES"/>
        </w:rPr>
      </w:pPr>
    </w:p>
    <w:p w:rsidR="00586A3E" w:rsidRPr="00F774F0" w:rsidRDefault="00586A3E">
      <w:pPr>
        <w:rPr>
          <w:lang w:val="es-ES"/>
        </w:rPr>
      </w:pPr>
    </w:p>
    <w:sectPr w:rsidR="00586A3E" w:rsidRPr="00F774F0" w:rsidSect="00586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3E" w:rsidRDefault="00441E3E" w:rsidP="00D15ACB">
      <w:r>
        <w:separator/>
      </w:r>
    </w:p>
  </w:endnote>
  <w:endnote w:type="continuationSeparator" w:id="0">
    <w:p w:rsidR="00441E3E" w:rsidRDefault="00441E3E" w:rsidP="00D1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3E" w:rsidRDefault="00441E3E" w:rsidP="00D15ACB">
      <w:r>
        <w:separator/>
      </w:r>
    </w:p>
  </w:footnote>
  <w:footnote w:type="continuationSeparator" w:id="0">
    <w:p w:rsidR="00441E3E" w:rsidRDefault="00441E3E" w:rsidP="00D15ACB">
      <w:r>
        <w:continuationSeparator/>
      </w:r>
    </w:p>
  </w:footnote>
  <w:footnote w:id="1">
    <w:p w:rsidR="002352B6" w:rsidRPr="002352B6" w:rsidRDefault="002352B6" w:rsidP="002352B6">
      <w:pPr>
        <w:pStyle w:val="Textonotapie"/>
        <w:jc w:val="left"/>
      </w:pPr>
      <w:r>
        <w:rPr>
          <w:rStyle w:val="Refdenotaalpie"/>
        </w:rPr>
        <w:footnoteRef/>
      </w:r>
      <w:r>
        <w:t xml:space="preserve">Artículo 3 letra H: </w:t>
      </w:r>
      <w:r w:rsidRPr="002352B6">
        <w:t>Corresponde a Gendarmería de Chile:</w:t>
      </w:r>
      <w:r>
        <w:t xml:space="preserve"> Resguardar</w:t>
      </w:r>
      <w:r w:rsidRPr="002352B6">
        <w:t xml:space="preserve"> la seg</w:t>
      </w:r>
      <w:r>
        <w:t xml:space="preserve">uridad interna de los recintos </w:t>
      </w:r>
      <w:r w:rsidRPr="002352B6">
        <w:t>donde funcionan el Ministerio de</w:t>
      </w:r>
      <w:r>
        <w:t xml:space="preserve"> Justicia, la Corte </w:t>
      </w:r>
      <w:r w:rsidRPr="002352B6">
        <w:t xml:space="preserve">Suprema y en general </w:t>
      </w:r>
      <w:r>
        <w:t xml:space="preserve">los Tribunales de Justicia que </w:t>
      </w:r>
      <w:r w:rsidRPr="002352B6">
        <w:t>determine el Presiden</w:t>
      </w:r>
      <w:r>
        <w:t xml:space="preserve">te de la República por decreto </w:t>
      </w:r>
      <w:r w:rsidRPr="002352B6">
        <w:t>supremo, sin perjui</w:t>
      </w:r>
      <w:r>
        <w:t xml:space="preserve">cio de las atribuciones de las </w:t>
      </w:r>
      <w:r w:rsidRPr="002352B6">
        <w:t>fuerzas de orden.</w:t>
      </w:r>
    </w:p>
    <w:p w:rsidR="002352B6" w:rsidRDefault="002352B6">
      <w:pPr>
        <w:pStyle w:val="Textonotapie"/>
      </w:pPr>
    </w:p>
  </w:footnote>
  <w:footnote w:id="2">
    <w:p w:rsidR="002352B6" w:rsidRDefault="002352B6" w:rsidP="002352B6">
      <w:pPr>
        <w:pStyle w:val="Textonotapie"/>
      </w:pPr>
      <w:r>
        <w:rPr>
          <w:rStyle w:val="Refdenotaalpie"/>
        </w:rPr>
        <w:footnoteRef/>
      </w:r>
      <w:r>
        <w:t>Artículo 4°.- Carab</w:t>
      </w:r>
      <w:r>
        <w:t xml:space="preserve">ineros de Chile prestará a las </w:t>
      </w:r>
      <w:r>
        <w:t xml:space="preserve">autoridades judiciales el auxilio de la fuerza pública </w:t>
      </w:r>
    </w:p>
    <w:p w:rsidR="002352B6" w:rsidRDefault="002352B6" w:rsidP="002352B6">
      <w:pPr>
        <w:pStyle w:val="Textonotapie"/>
      </w:pPr>
      <w:r>
        <w:t xml:space="preserve">que éstas soliciten en el </w:t>
      </w:r>
      <w:r>
        <w:t xml:space="preserve">ejercicio de sus atribuciones. </w:t>
      </w:r>
      <w:r>
        <w:t xml:space="preserve">Además, colaborará con los fiscales del Ministerio </w:t>
      </w:r>
    </w:p>
    <w:p w:rsidR="002352B6" w:rsidRDefault="002352B6" w:rsidP="002352B6">
      <w:pPr>
        <w:pStyle w:val="Textonotapie"/>
      </w:pPr>
      <w:r>
        <w:t>Público en la investiga</w:t>
      </w:r>
      <w:r>
        <w:t xml:space="preserve">ción de los delitos cuando así </w:t>
      </w:r>
      <w:r>
        <w:t xml:space="preserve">lo dispongan, sin perjuicio de las actuaciones que en </w:t>
      </w:r>
    </w:p>
    <w:p w:rsidR="002352B6" w:rsidRDefault="002352B6" w:rsidP="002352B6">
      <w:pPr>
        <w:pStyle w:val="Textonotapie"/>
      </w:pPr>
      <w:r>
        <w:t>virtud de la ley le c</w:t>
      </w:r>
      <w:r>
        <w:t xml:space="preserve">orresponde realizar sin mediar </w:t>
      </w:r>
      <w:r>
        <w:t xml:space="preserve">instrucciones particulares de los fiscales. Deberá </w:t>
      </w:r>
    </w:p>
    <w:p w:rsidR="002352B6" w:rsidRDefault="002352B6" w:rsidP="002352B6">
      <w:pPr>
        <w:pStyle w:val="Textonotapie"/>
      </w:pPr>
      <w:r>
        <w:t>cumplir sin más trámite su</w:t>
      </w:r>
      <w:r>
        <w:t xml:space="preserve">s órdenes y no podrá calificar </w:t>
      </w:r>
      <w:r>
        <w:t xml:space="preserve">su fundamento, oportunidad, justicia o legalidad, salvo </w:t>
      </w:r>
    </w:p>
    <w:p w:rsidR="002352B6" w:rsidRDefault="002352B6" w:rsidP="002352B6">
      <w:pPr>
        <w:pStyle w:val="Textonotapie"/>
      </w:pPr>
      <w:r>
        <w:t>requerir la exhibición de la autoriz</w:t>
      </w:r>
      <w:r>
        <w:t xml:space="preserve">ación judicial previa, en su caso. </w:t>
      </w:r>
      <w:r>
        <w:t>Carabineros, asimis</w:t>
      </w:r>
      <w:r>
        <w:t xml:space="preserve">mo, prestará a las autoridades </w:t>
      </w:r>
      <w:r>
        <w:t>administrativas el au</w:t>
      </w:r>
      <w:r>
        <w:t xml:space="preserve">xilio de la fuerza pública que </w:t>
      </w:r>
      <w:r>
        <w:t xml:space="preserve">éstas soliciten en el ejercicio legítimo de sus </w:t>
      </w:r>
    </w:p>
    <w:p w:rsidR="002352B6" w:rsidRDefault="002352B6" w:rsidP="002352B6">
      <w:pPr>
        <w:pStyle w:val="Textonotapie"/>
      </w:pPr>
      <w:r>
        <w:t>atribuciones</w:t>
      </w:r>
      <w:r>
        <w:t xml:space="preserve"> En situaciones calificadas, Carabineros podrá</w:t>
      </w:r>
      <w:r>
        <w:t xml:space="preserve"> </w:t>
      </w:r>
      <w:r>
        <w:t xml:space="preserve">requerir a la autoridad administrativa la orden por </w:t>
      </w:r>
    </w:p>
    <w:p w:rsidR="002352B6" w:rsidRDefault="002352B6" w:rsidP="002352B6">
      <w:pPr>
        <w:pStyle w:val="Textonotapie"/>
      </w:pPr>
      <w:r>
        <w:t>escrito, cuando por la nat</w:t>
      </w:r>
      <w:r>
        <w:t xml:space="preserve">uraleza de la medida lo estime </w:t>
      </w:r>
      <w:r>
        <w:t>convenie</w:t>
      </w:r>
      <w:r>
        <w:t>nte para su cabal cumplimiento.</w:t>
      </w:r>
      <w:r>
        <w:t xml:space="preserve"> La autoridad ad</w:t>
      </w:r>
      <w:r>
        <w:t xml:space="preserve">ministrativa no podrá requerir </w:t>
      </w:r>
      <w:r>
        <w:t>directamente el au</w:t>
      </w:r>
      <w:r>
        <w:t xml:space="preserve">xilio de la fuerza pública, ni </w:t>
      </w:r>
      <w:r>
        <w:t>Carabineros podrá conce</w:t>
      </w:r>
      <w:r>
        <w:t xml:space="preserve">derla, respecto de asuntos que </w:t>
      </w:r>
      <w:r>
        <w:t>esté investigando</w:t>
      </w:r>
      <w:r>
        <w:t xml:space="preserve"> el Ministerio Público o estén </w:t>
      </w:r>
      <w:r>
        <w:t>sometidos al conocimiento</w:t>
      </w:r>
      <w:r>
        <w:t xml:space="preserve"> de los tribunales de justicia </w:t>
      </w:r>
      <w:r>
        <w:t>y que hayan sido</w:t>
      </w:r>
      <w:r>
        <w:t xml:space="preserve"> objeto de medidas ordenadas o </w:t>
      </w:r>
      <w:r>
        <w:t>decretadas por ellos y comunicadas o notificadas,</w:t>
      </w:r>
      <w:r>
        <w:t xml:space="preserve"> en su </w:t>
      </w:r>
      <w:r>
        <w:t>caso, a Carabineros.</w:t>
      </w:r>
    </w:p>
  </w:footnote>
  <w:footnote w:id="3">
    <w:p w:rsidR="00A0384E" w:rsidRDefault="00A0384E" w:rsidP="00A0384E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Artículo 7°.- La Institución d</w:t>
      </w:r>
      <w:r>
        <w:t xml:space="preserve">ará al Ministerio </w:t>
      </w:r>
      <w:r>
        <w:t xml:space="preserve">Público y a las autoridades judiciales con competencia </w:t>
      </w:r>
    </w:p>
    <w:p w:rsidR="00A0384E" w:rsidRDefault="00A0384E" w:rsidP="00A0384E">
      <w:pPr>
        <w:pStyle w:val="Textonotapie"/>
      </w:pPr>
      <w:r>
        <w:t xml:space="preserve">en lo criminal, el </w:t>
      </w:r>
      <w:r>
        <w:t xml:space="preserve">auxilio que le soliciten en el </w:t>
      </w:r>
      <w:r>
        <w:t xml:space="preserve">ejercicio de sus atribuciones. Deberá cumplir sin más </w:t>
      </w:r>
    </w:p>
    <w:p w:rsidR="00A0384E" w:rsidRDefault="00A0384E" w:rsidP="00A0384E">
      <w:pPr>
        <w:pStyle w:val="Textonotapie"/>
      </w:pPr>
      <w:r>
        <w:t xml:space="preserve">trámite sus órdenes y no </w:t>
      </w:r>
      <w:r>
        <w:t xml:space="preserve">podrá calificar su fundamento, </w:t>
      </w:r>
      <w:r>
        <w:t xml:space="preserve">oportunidad, justicia o legalidad, salvo requerir la </w:t>
      </w:r>
    </w:p>
    <w:p w:rsidR="00A0384E" w:rsidRDefault="00A0384E" w:rsidP="00A0384E">
      <w:pPr>
        <w:pStyle w:val="Textonotapie"/>
      </w:pPr>
      <w:r>
        <w:t>exhibición de la autor</w:t>
      </w:r>
      <w:r>
        <w:t xml:space="preserve">ización judicial previa, en su </w:t>
      </w:r>
      <w:r>
        <w:t>caso.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313"/>
    <w:multiLevelType w:val="hybridMultilevel"/>
    <w:tmpl w:val="4EFA48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2A1E"/>
    <w:multiLevelType w:val="hybridMultilevel"/>
    <w:tmpl w:val="3E92BEF2"/>
    <w:lvl w:ilvl="0" w:tplc="DBB42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6A41"/>
    <w:multiLevelType w:val="hybridMultilevel"/>
    <w:tmpl w:val="FA18E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054A"/>
    <w:multiLevelType w:val="hybridMultilevel"/>
    <w:tmpl w:val="6892389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180F"/>
    <w:multiLevelType w:val="hybridMultilevel"/>
    <w:tmpl w:val="F3DE18AE"/>
    <w:lvl w:ilvl="0" w:tplc="EDAEC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BC9"/>
    <w:multiLevelType w:val="hybridMultilevel"/>
    <w:tmpl w:val="34F293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2E95"/>
    <w:multiLevelType w:val="hybridMultilevel"/>
    <w:tmpl w:val="B134A4B2"/>
    <w:lvl w:ilvl="0" w:tplc="6652B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4C1219"/>
    <w:multiLevelType w:val="hybridMultilevel"/>
    <w:tmpl w:val="7054EA00"/>
    <w:lvl w:ilvl="0" w:tplc="1AF0AC4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967282"/>
    <w:multiLevelType w:val="hybridMultilevel"/>
    <w:tmpl w:val="0A0E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4DC5"/>
    <w:multiLevelType w:val="hybridMultilevel"/>
    <w:tmpl w:val="53D207C4"/>
    <w:lvl w:ilvl="0" w:tplc="EFD08A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94FE2"/>
    <w:multiLevelType w:val="hybridMultilevel"/>
    <w:tmpl w:val="ACCA3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1724"/>
    <w:multiLevelType w:val="hybridMultilevel"/>
    <w:tmpl w:val="793EC452"/>
    <w:lvl w:ilvl="0" w:tplc="145ED2BC">
      <w:start w:val="1"/>
      <w:numFmt w:val="decimal"/>
      <w:lvlText w:val="%1"/>
      <w:lvlJc w:val="left"/>
      <w:pPr>
        <w:ind w:left="720" w:hanging="360"/>
      </w:pPr>
      <w:rPr>
        <w:rFonts w:ascii="Garamond" w:eastAsiaTheme="minorEastAsia" w:hAnsi="Garamond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15EE"/>
    <w:multiLevelType w:val="hybridMultilevel"/>
    <w:tmpl w:val="79567CE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25862"/>
    <w:multiLevelType w:val="hybridMultilevel"/>
    <w:tmpl w:val="1F1497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7611B"/>
    <w:multiLevelType w:val="hybridMultilevel"/>
    <w:tmpl w:val="A478FBEA"/>
    <w:lvl w:ilvl="0" w:tplc="E3222F26">
      <w:start w:val="1"/>
      <w:numFmt w:val="lowerLetter"/>
      <w:lvlText w:val="%1."/>
      <w:lvlJc w:val="left"/>
      <w:pPr>
        <w:ind w:left="1080" w:hanging="360"/>
      </w:pPr>
      <w:rPr>
        <w:rFonts w:ascii="Garamond" w:eastAsiaTheme="minorEastAsia" w:hAnsi="Garamond" w:cstheme="minorBid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4F0"/>
    <w:rsid w:val="001C7080"/>
    <w:rsid w:val="002352B6"/>
    <w:rsid w:val="00441E3E"/>
    <w:rsid w:val="00586A3E"/>
    <w:rsid w:val="009A7B88"/>
    <w:rsid w:val="00A0384E"/>
    <w:rsid w:val="00AF6D57"/>
    <w:rsid w:val="00C36159"/>
    <w:rsid w:val="00D15ACB"/>
    <w:rsid w:val="00F7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F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4F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15ACB"/>
    <w:pPr>
      <w:jc w:val="both"/>
    </w:pPr>
    <w:rPr>
      <w:rFonts w:ascii="Garamond" w:eastAsiaTheme="minorHAnsi" w:hAnsi="Garamond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5ACB"/>
    <w:rPr>
      <w:rFonts w:ascii="Garamond" w:hAnsi="Garamond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5ACB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52B6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52B6"/>
    <w:rPr>
      <w:rFonts w:ascii="Consolas" w:eastAsiaTheme="minorEastAsia" w:hAnsi="Consolas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E3BC-3BF0-413E-AFF9-0E2791ED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1</cp:revision>
  <dcterms:created xsi:type="dcterms:W3CDTF">2017-09-01T19:42:00Z</dcterms:created>
  <dcterms:modified xsi:type="dcterms:W3CDTF">2017-09-01T21:01:00Z</dcterms:modified>
</cp:coreProperties>
</file>