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958D" w14:textId="77777777" w:rsidR="009F4D38" w:rsidRDefault="009F4D38" w:rsidP="009F4D38">
      <w:pPr>
        <w:jc w:val="center"/>
        <w:rPr>
          <w:rFonts w:ascii="Garamond" w:hAnsi="Garamond"/>
          <w:b/>
        </w:rPr>
      </w:pPr>
      <w:r w:rsidRPr="00E159CE">
        <w:rPr>
          <w:rFonts w:ascii="Garamond" w:hAnsi="Garamond"/>
          <w:b/>
        </w:rPr>
        <w:t>Minuta</w:t>
      </w:r>
      <w:r>
        <w:rPr>
          <w:rFonts w:ascii="Garamond" w:hAnsi="Garamond"/>
          <w:b/>
        </w:rPr>
        <w:t xml:space="preserve"> </w:t>
      </w:r>
    </w:p>
    <w:p w14:paraId="19CA2595" w14:textId="77777777" w:rsidR="009F4D38" w:rsidRPr="009F4D38" w:rsidRDefault="009F4D38" w:rsidP="009F4D38">
      <w:pPr>
        <w:jc w:val="center"/>
        <w:rPr>
          <w:rFonts w:ascii="Garamond" w:hAnsi="Garamond"/>
        </w:rPr>
      </w:pPr>
      <w:r w:rsidRPr="009F4D38">
        <w:rPr>
          <w:rFonts w:ascii="Garamond" w:hAnsi="Garamond"/>
        </w:rPr>
        <w:t>(Estudio de proyecto en Comisión de Constitución, Legislación, Justicia y Reglamento)</w:t>
      </w:r>
    </w:p>
    <w:p w14:paraId="7B10730F" w14:textId="77777777" w:rsidR="009F4D38" w:rsidRPr="0091607D" w:rsidRDefault="009F4D38" w:rsidP="009F4D38">
      <w:pPr>
        <w:spacing w:after="200" w:line="240" w:lineRule="auto"/>
        <w:jc w:val="center"/>
        <w:rPr>
          <w:rFonts w:ascii="Garamond" w:eastAsia="Calibri" w:hAnsi="Garamond" w:cs="Times New Roman"/>
          <w:sz w:val="24"/>
          <w:szCs w:val="24"/>
        </w:rPr>
      </w:pPr>
      <w:r>
        <w:rPr>
          <w:rFonts w:ascii="Garamond" w:eastAsia="Calibri" w:hAnsi="Garamond" w:cs="Times New Roman"/>
          <w:b/>
          <w:sz w:val="24"/>
          <w:szCs w:val="24"/>
          <w:lang w:val="es-ES_tradnl"/>
        </w:rPr>
        <w:t>P</w:t>
      </w:r>
      <w:r w:rsidRPr="0091607D">
        <w:rPr>
          <w:rFonts w:ascii="Garamond" w:eastAsia="Calibri" w:hAnsi="Garamond" w:cs="Times New Roman"/>
          <w:b/>
          <w:sz w:val="24"/>
          <w:szCs w:val="24"/>
          <w:lang w:val="es-ES_tradnl"/>
        </w:rPr>
        <w:t xml:space="preserve">royecto de ley que </w:t>
      </w:r>
      <w:r>
        <w:rPr>
          <w:rFonts w:ascii="Garamond" w:eastAsia="Calibri" w:hAnsi="Garamond" w:cs="Times New Roman"/>
          <w:b/>
          <w:sz w:val="24"/>
          <w:szCs w:val="24"/>
        </w:rPr>
        <w:t>m</w:t>
      </w:r>
      <w:r w:rsidRPr="009F4D38">
        <w:rPr>
          <w:rFonts w:ascii="Garamond" w:eastAsia="Calibri" w:hAnsi="Garamond" w:cs="Times New Roman"/>
          <w:b/>
          <w:sz w:val="24"/>
          <w:szCs w:val="24"/>
        </w:rPr>
        <w:t>oderniza y fortalece el ejercicio de la función pública del Servicio Nacional de Pesca</w:t>
      </w:r>
    </w:p>
    <w:p w14:paraId="411AED8D" w14:textId="77777777" w:rsidR="009F4D38" w:rsidRPr="0091607D" w:rsidRDefault="009F4D38" w:rsidP="009F4D38">
      <w:pPr>
        <w:spacing w:after="200" w:line="240" w:lineRule="auto"/>
        <w:jc w:val="center"/>
        <w:rPr>
          <w:rFonts w:ascii="Garamond" w:eastAsia="Calibri" w:hAnsi="Garamond" w:cs="Times New Roman"/>
          <w:sz w:val="24"/>
          <w:szCs w:val="24"/>
        </w:rPr>
      </w:pPr>
      <w:r w:rsidRPr="0091607D">
        <w:rPr>
          <w:rFonts w:ascii="Garamond" w:eastAsia="Calibri" w:hAnsi="Garamond" w:cs="Times New Roman"/>
          <w:sz w:val="24"/>
          <w:szCs w:val="24"/>
        </w:rPr>
        <w:t xml:space="preserve">Boletín </w:t>
      </w:r>
      <w:proofErr w:type="spellStart"/>
      <w:r w:rsidRPr="0091607D">
        <w:rPr>
          <w:rFonts w:ascii="Garamond" w:eastAsia="Calibri" w:hAnsi="Garamond" w:cs="Times New Roman"/>
          <w:sz w:val="24"/>
          <w:szCs w:val="24"/>
        </w:rPr>
        <w:t>Nº</w:t>
      </w:r>
      <w:proofErr w:type="spellEnd"/>
      <w:r w:rsidRPr="0091607D">
        <w:rPr>
          <w:rFonts w:ascii="Garamond" w:eastAsia="Calibri" w:hAnsi="Garamond" w:cs="Times New Roman"/>
          <w:sz w:val="24"/>
          <w:szCs w:val="24"/>
        </w:rPr>
        <w:t xml:space="preserve"> </w:t>
      </w:r>
      <w:r>
        <w:rPr>
          <w:rFonts w:ascii="Garamond" w:eastAsia="Calibri" w:hAnsi="Garamond" w:cs="Times New Roman"/>
          <w:sz w:val="24"/>
          <w:szCs w:val="24"/>
        </w:rPr>
        <w:t>10482</w:t>
      </w:r>
      <w:r w:rsidRPr="0091607D">
        <w:rPr>
          <w:rFonts w:ascii="Garamond" w:eastAsia="Calibri" w:hAnsi="Garamond" w:cs="Times New Roman"/>
          <w:sz w:val="24"/>
          <w:szCs w:val="24"/>
        </w:rPr>
        <w:t>-</w:t>
      </w:r>
      <w:r>
        <w:rPr>
          <w:rFonts w:ascii="Garamond" w:eastAsia="Calibri" w:hAnsi="Garamond" w:cs="Times New Roman"/>
          <w:sz w:val="24"/>
          <w:szCs w:val="24"/>
        </w:rPr>
        <w:t>21</w:t>
      </w:r>
    </w:p>
    <w:p w14:paraId="411811AA" w14:textId="77777777" w:rsidR="009F4D38" w:rsidRPr="0091607D" w:rsidRDefault="009F4D38" w:rsidP="009F4D38">
      <w:pPr>
        <w:spacing w:after="200" w:line="240" w:lineRule="auto"/>
        <w:jc w:val="center"/>
        <w:rPr>
          <w:rFonts w:ascii="Garamond" w:eastAsia="Calibri" w:hAnsi="Garamond" w:cs="Times New Roman"/>
          <w:sz w:val="24"/>
          <w:szCs w:val="24"/>
        </w:rPr>
      </w:pPr>
      <w:r>
        <w:rPr>
          <w:rFonts w:ascii="Garamond" w:eastAsia="Calibri" w:hAnsi="Garamond" w:cs="Times New Roman"/>
          <w:sz w:val="24"/>
          <w:szCs w:val="24"/>
        </w:rPr>
        <w:t>09</w:t>
      </w:r>
      <w:r w:rsidRPr="0091607D">
        <w:rPr>
          <w:rFonts w:ascii="Garamond" w:eastAsia="Calibri" w:hAnsi="Garamond" w:cs="Times New Roman"/>
          <w:sz w:val="24"/>
          <w:szCs w:val="24"/>
        </w:rPr>
        <w:t xml:space="preserve"> de </w:t>
      </w:r>
      <w:r>
        <w:rPr>
          <w:rFonts w:ascii="Garamond" w:eastAsia="Calibri" w:hAnsi="Garamond" w:cs="Times New Roman"/>
          <w:sz w:val="24"/>
          <w:szCs w:val="24"/>
        </w:rPr>
        <w:t xml:space="preserve">enero </w:t>
      </w:r>
      <w:r w:rsidRPr="0091607D">
        <w:rPr>
          <w:rFonts w:ascii="Garamond" w:eastAsia="Calibri" w:hAnsi="Garamond" w:cs="Times New Roman"/>
          <w:sz w:val="24"/>
          <w:szCs w:val="24"/>
        </w:rPr>
        <w:t>de 201</w:t>
      </w:r>
      <w:r>
        <w:rPr>
          <w:rFonts w:ascii="Garamond" w:eastAsia="Calibri" w:hAnsi="Garamond" w:cs="Times New Roman"/>
          <w:sz w:val="24"/>
          <w:szCs w:val="24"/>
        </w:rPr>
        <w:t>8</w:t>
      </w:r>
    </w:p>
    <w:p w14:paraId="536A7F9F" w14:textId="77777777" w:rsidR="009F4D38" w:rsidRPr="0091607D" w:rsidRDefault="009F4D38" w:rsidP="009F4D38">
      <w:pPr>
        <w:spacing w:after="200" w:line="240" w:lineRule="auto"/>
        <w:jc w:val="center"/>
        <w:rPr>
          <w:rFonts w:ascii="Garamond" w:eastAsia="Calibri" w:hAnsi="Garamond" w:cs="Times New Roman"/>
          <w:sz w:val="24"/>
          <w:szCs w:val="24"/>
        </w:rPr>
      </w:pPr>
    </w:p>
    <w:p w14:paraId="37AEE0F0" w14:textId="77777777" w:rsidR="009F4D38" w:rsidRPr="001F4A95" w:rsidRDefault="009F4D38" w:rsidP="009F4D38">
      <w:pPr>
        <w:spacing w:after="200" w:line="240" w:lineRule="auto"/>
        <w:jc w:val="center"/>
        <w:rPr>
          <w:rFonts w:ascii="Garamond" w:eastAsia="Calibri" w:hAnsi="Garamond" w:cs="Times New Roman"/>
          <w:sz w:val="24"/>
          <w:szCs w:val="24"/>
        </w:rPr>
      </w:pPr>
      <w:r w:rsidRPr="001F4A95">
        <w:rPr>
          <w:rFonts w:ascii="Garamond" w:eastAsia="Calibri" w:hAnsi="Garamond" w:cs="Times New Roman"/>
          <w:sz w:val="24"/>
          <w:szCs w:val="24"/>
        </w:rPr>
        <w:t xml:space="preserve">Origen: </w:t>
      </w:r>
      <w:r>
        <w:rPr>
          <w:rFonts w:ascii="Garamond" w:eastAsia="Calibri" w:hAnsi="Garamond" w:cs="Times New Roman"/>
          <w:sz w:val="24"/>
          <w:szCs w:val="24"/>
        </w:rPr>
        <w:t>Mensaje</w:t>
      </w:r>
    </w:p>
    <w:p w14:paraId="4AF8196C" w14:textId="77777777" w:rsidR="009F4D38" w:rsidRPr="0091607D" w:rsidRDefault="009F4D38" w:rsidP="009F4D38">
      <w:pPr>
        <w:spacing w:after="200" w:line="240" w:lineRule="auto"/>
        <w:jc w:val="center"/>
        <w:rPr>
          <w:rFonts w:ascii="Garamond" w:eastAsia="Calibri" w:hAnsi="Garamond" w:cs="Times New Roman"/>
          <w:sz w:val="24"/>
          <w:szCs w:val="24"/>
        </w:rPr>
      </w:pPr>
      <w:r w:rsidRPr="001F4A95">
        <w:rPr>
          <w:rFonts w:ascii="Garamond" w:eastAsia="Calibri" w:hAnsi="Garamond" w:cs="Times New Roman"/>
          <w:sz w:val="24"/>
          <w:szCs w:val="24"/>
        </w:rPr>
        <w:t>Etapa:</w:t>
      </w:r>
      <w:r w:rsidRPr="001F4A95">
        <w:rPr>
          <w:rFonts w:ascii="Garamond" w:eastAsia="Calibri" w:hAnsi="Garamond" w:cs="Times New Roman"/>
          <w:sz w:val="24"/>
          <w:szCs w:val="24"/>
        </w:rPr>
        <w:tab/>
      </w:r>
      <w:r>
        <w:rPr>
          <w:rFonts w:ascii="Garamond" w:eastAsia="Calibri" w:hAnsi="Garamond" w:cs="Times New Roman"/>
          <w:sz w:val="24"/>
          <w:szCs w:val="24"/>
        </w:rPr>
        <w:t>Segundo trámite constitucional (Senado).</w:t>
      </w:r>
    </w:p>
    <w:p w14:paraId="2AF433F4" w14:textId="77777777" w:rsidR="009F4D38" w:rsidRPr="0091607D" w:rsidRDefault="009F4D38" w:rsidP="009F4D38">
      <w:pPr>
        <w:spacing w:after="200" w:line="240" w:lineRule="auto"/>
        <w:jc w:val="both"/>
        <w:rPr>
          <w:rFonts w:ascii="Garamond" w:eastAsia="Calibri" w:hAnsi="Garamond" w:cs="Times New Roman"/>
          <w:sz w:val="24"/>
          <w:szCs w:val="24"/>
        </w:rPr>
      </w:pPr>
    </w:p>
    <w:p w14:paraId="7579EACF" w14:textId="77777777" w:rsidR="009F4D38" w:rsidRPr="00764DB7" w:rsidRDefault="009F4D38" w:rsidP="009F4D38">
      <w:pPr>
        <w:numPr>
          <w:ilvl w:val="0"/>
          <w:numId w:val="1"/>
        </w:numPr>
        <w:spacing w:after="200" w:line="240" w:lineRule="auto"/>
        <w:jc w:val="both"/>
        <w:rPr>
          <w:rFonts w:ascii="Garamond" w:eastAsia="Calibri" w:hAnsi="Garamond" w:cs="Times New Roman"/>
          <w:b/>
          <w:i/>
          <w:sz w:val="24"/>
          <w:szCs w:val="24"/>
        </w:rPr>
      </w:pPr>
      <w:r w:rsidRPr="00764DB7">
        <w:rPr>
          <w:rFonts w:ascii="Garamond" w:eastAsia="Calibri" w:hAnsi="Garamond" w:cs="Times New Roman"/>
          <w:b/>
          <w:i/>
          <w:sz w:val="24"/>
          <w:szCs w:val="24"/>
        </w:rPr>
        <w:t>Origen del análisis del proyecto.</w:t>
      </w:r>
    </w:p>
    <w:p w14:paraId="6131F8DD" w14:textId="77777777" w:rsidR="00CE6C99" w:rsidRDefault="009F4D38" w:rsidP="00CE6C99">
      <w:pPr>
        <w:jc w:val="both"/>
        <w:rPr>
          <w:rFonts w:ascii="Garamond" w:eastAsia="Calibri" w:hAnsi="Garamond" w:cs="Times New Roman"/>
          <w:sz w:val="24"/>
          <w:szCs w:val="24"/>
        </w:rPr>
      </w:pPr>
      <w:r>
        <w:rPr>
          <w:rFonts w:ascii="Garamond" w:eastAsia="Calibri" w:hAnsi="Garamond" w:cs="Times New Roman"/>
          <w:sz w:val="24"/>
          <w:szCs w:val="24"/>
        </w:rPr>
        <w:t>Como antecedente relevante</w:t>
      </w:r>
      <w:r>
        <w:rPr>
          <w:rFonts w:ascii="Garamond" w:eastAsia="Calibri" w:hAnsi="Garamond" w:cs="Times New Roman"/>
          <w:sz w:val="24"/>
          <w:szCs w:val="24"/>
        </w:rPr>
        <w:t>,</w:t>
      </w:r>
      <w:r>
        <w:rPr>
          <w:rFonts w:ascii="Garamond" w:eastAsia="Calibri" w:hAnsi="Garamond" w:cs="Times New Roman"/>
          <w:sz w:val="24"/>
          <w:szCs w:val="24"/>
        </w:rPr>
        <w:t xml:space="preserve"> cabe destacar</w:t>
      </w:r>
      <w:r w:rsidR="00CE6C99">
        <w:rPr>
          <w:rFonts w:ascii="Garamond" w:eastAsia="Calibri" w:hAnsi="Garamond" w:cs="Times New Roman"/>
          <w:sz w:val="24"/>
          <w:szCs w:val="24"/>
        </w:rPr>
        <w:t xml:space="preserve"> que, sin perjuicio de que el proyecto constituye una </w:t>
      </w:r>
      <w:r w:rsidR="00CE6C99" w:rsidRPr="00CE6C99">
        <w:rPr>
          <w:rFonts w:ascii="Garamond" w:eastAsia="Calibri" w:hAnsi="Garamond" w:cs="Times New Roman"/>
          <w:sz w:val="24"/>
          <w:szCs w:val="24"/>
        </w:rPr>
        <w:t>buena</w:t>
      </w:r>
      <w:r w:rsidR="00CE6C99">
        <w:rPr>
          <w:rFonts w:ascii="Garamond" w:eastAsia="Calibri" w:hAnsi="Garamond" w:cs="Times New Roman"/>
          <w:sz w:val="24"/>
          <w:szCs w:val="24"/>
        </w:rPr>
        <w:t xml:space="preserve"> </w:t>
      </w:r>
      <w:r w:rsidR="00CE6C99" w:rsidRPr="00CE6C99">
        <w:rPr>
          <w:rFonts w:ascii="Garamond" w:eastAsia="Calibri" w:hAnsi="Garamond" w:cs="Times New Roman"/>
          <w:sz w:val="24"/>
          <w:szCs w:val="24"/>
        </w:rPr>
        <w:t>iniciativa</w:t>
      </w:r>
      <w:r w:rsidR="00CE6C99">
        <w:rPr>
          <w:rFonts w:ascii="Garamond" w:eastAsia="Calibri" w:hAnsi="Garamond" w:cs="Times New Roman"/>
          <w:sz w:val="24"/>
          <w:szCs w:val="24"/>
        </w:rPr>
        <w:t>, al</w:t>
      </w:r>
      <w:r w:rsidR="00CE6C99" w:rsidRPr="00CE6C99">
        <w:rPr>
          <w:rFonts w:ascii="Garamond" w:eastAsia="Calibri" w:hAnsi="Garamond" w:cs="Times New Roman"/>
          <w:sz w:val="24"/>
          <w:szCs w:val="24"/>
        </w:rPr>
        <w:t xml:space="preserve"> fortalecer el rol del SERNAPESCA y, adicionalmente, mejorar las condiciones laborales de sus trabajadores, </w:t>
      </w:r>
      <w:r w:rsidR="00CE6C99">
        <w:rPr>
          <w:rFonts w:ascii="Garamond" w:eastAsia="Calibri" w:hAnsi="Garamond" w:cs="Times New Roman"/>
          <w:sz w:val="24"/>
          <w:szCs w:val="24"/>
        </w:rPr>
        <w:t>en su minuto fue necesario</w:t>
      </w:r>
      <w:r w:rsidR="00CE6C99" w:rsidRPr="00CE6C99">
        <w:rPr>
          <w:rFonts w:ascii="Garamond" w:eastAsia="Calibri" w:hAnsi="Garamond" w:cs="Times New Roman"/>
          <w:sz w:val="24"/>
          <w:szCs w:val="24"/>
        </w:rPr>
        <w:t xml:space="preserve"> observar algunos aspectos </w:t>
      </w:r>
      <w:r w:rsidR="00CE6C99">
        <w:rPr>
          <w:rFonts w:ascii="Garamond" w:eastAsia="Calibri" w:hAnsi="Garamond" w:cs="Times New Roman"/>
          <w:sz w:val="24"/>
          <w:szCs w:val="24"/>
        </w:rPr>
        <w:t>relativos a la tipificación de</w:t>
      </w:r>
      <w:r w:rsidR="00CE6C99" w:rsidRPr="00CE6C99">
        <w:rPr>
          <w:rFonts w:ascii="Garamond" w:eastAsia="Calibri" w:hAnsi="Garamond" w:cs="Times New Roman"/>
          <w:sz w:val="24"/>
          <w:szCs w:val="24"/>
        </w:rPr>
        <w:t xml:space="preserve"> sanciones, como la proporcionalidad </w:t>
      </w:r>
      <w:r w:rsidR="00CE6C99">
        <w:rPr>
          <w:rFonts w:ascii="Garamond" w:eastAsia="Calibri" w:hAnsi="Garamond" w:cs="Times New Roman"/>
          <w:sz w:val="24"/>
          <w:szCs w:val="24"/>
        </w:rPr>
        <w:t xml:space="preserve">de las penas </w:t>
      </w:r>
      <w:r w:rsidR="00CE6C99" w:rsidRPr="00CE6C99">
        <w:rPr>
          <w:rFonts w:ascii="Garamond" w:eastAsia="Calibri" w:hAnsi="Garamond" w:cs="Times New Roman"/>
          <w:sz w:val="24"/>
          <w:szCs w:val="24"/>
        </w:rPr>
        <w:t>y</w:t>
      </w:r>
      <w:r w:rsidR="00CE6C99">
        <w:rPr>
          <w:rFonts w:ascii="Garamond" w:eastAsia="Calibri" w:hAnsi="Garamond" w:cs="Times New Roman"/>
          <w:sz w:val="24"/>
          <w:szCs w:val="24"/>
        </w:rPr>
        <w:t xml:space="preserve"> la</w:t>
      </w:r>
      <w:r w:rsidR="00CE6C99" w:rsidRPr="00CE6C99">
        <w:rPr>
          <w:rFonts w:ascii="Garamond" w:eastAsia="Calibri" w:hAnsi="Garamond" w:cs="Times New Roman"/>
          <w:sz w:val="24"/>
          <w:szCs w:val="24"/>
        </w:rPr>
        <w:t xml:space="preserve"> legalidad de los tipos penales que se crean.</w:t>
      </w:r>
      <w:r w:rsidR="00CE6C99">
        <w:rPr>
          <w:rFonts w:ascii="Garamond" w:eastAsia="Calibri" w:hAnsi="Garamond" w:cs="Times New Roman"/>
          <w:sz w:val="24"/>
          <w:szCs w:val="24"/>
        </w:rPr>
        <w:t xml:space="preserve"> </w:t>
      </w:r>
    </w:p>
    <w:p w14:paraId="55252541" w14:textId="77777777" w:rsidR="00BA370F" w:rsidRDefault="00CE6C99" w:rsidP="00CE6C99">
      <w:pPr>
        <w:jc w:val="both"/>
        <w:rPr>
          <w:rFonts w:ascii="Garamond" w:eastAsia="Calibri" w:hAnsi="Garamond" w:cs="Times New Roman"/>
          <w:sz w:val="24"/>
          <w:szCs w:val="24"/>
        </w:rPr>
      </w:pPr>
      <w:r>
        <w:rPr>
          <w:rFonts w:ascii="Garamond" w:eastAsia="Calibri" w:hAnsi="Garamond" w:cs="Times New Roman"/>
          <w:sz w:val="24"/>
          <w:szCs w:val="24"/>
        </w:rPr>
        <w:t xml:space="preserve">Dentro de los aspectos mencionados, </w:t>
      </w:r>
      <w:r w:rsidR="00BA370F">
        <w:rPr>
          <w:rFonts w:ascii="Garamond" w:eastAsia="Calibri" w:hAnsi="Garamond" w:cs="Times New Roman"/>
          <w:sz w:val="24"/>
          <w:szCs w:val="24"/>
        </w:rPr>
        <w:t>en la sesión</w:t>
      </w:r>
      <w:r w:rsidR="00764DB7">
        <w:rPr>
          <w:rFonts w:ascii="Garamond" w:eastAsia="Calibri" w:hAnsi="Garamond" w:cs="Times New Roman"/>
          <w:sz w:val="24"/>
          <w:szCs w:val="24"/>
        </w:rPr>
        <w:t xml:space="preserve"> de Sala</w:t>
      </w:r>
      <w:r w:rsidR="00BA370F">
        <w:rPr>
          <w:rFonts w:ascii="Garamond" w:eastAsia="Calibri" w:hAnsi="Garamond" w:cs="Times New Roman"/>
          <w:sz w:val="24"/>
          <w:szCs w:val="24"/>
        </w:rPr>
        <w:t xml:space="preserve"> N°87, </w:t>
      </w:r>
      <w:r w:rsidR="00764DB7">
        <w:rPr>
          <w:rFonts w:ascii="Garamond" w:eastAsia="Calibri" w:hAnsi="Garamond" w:cs="Times New Roman"/>
          <w:sz w:val="24"/>
          <w:szCs w:val="24"/>
        </w:rPr>
        <w:t xml:space="preserve">de fecha 07 de marzo de 2017, </w:t>
      </w:r>
      <w:r>
        <w:rPr>
          <w:rFonts w:ascii="Garamond" w:eastAsia="Calibri" w:hAnsi="Garamond" w:cs="Times New Roman"/>
          <w:sz w:val="24"/>
          <w:szCs w:val="24"/>
        </w:rPr>
        <w:t>se representaron problemas con la definición de la conducta de “pesca ilegal”, por</w:t>
      </w:r>
      <w:r w:rsidR="00BA370F">
        <w:rPr>
          <w:rFonts w:ascii="Garamond" w:eastAsia="Calibri" w:hAnsi="Garamond" w:cs="Times New Roman"/>
          <w:sz w:val="24"/>
          <w:szCs w:val="24"/>
        </w:rPr>
        <w:t xml:space="preserve"> contar con</w:t>
      </w:r>
      <w:r>
        <w:rPr>
          <w:rFonts w:ascii="Garamond" w:eastAsia="Calibri" w:hAnsi="Garamond" w:cs="Times New Roman"/>
          <w:sz w:val="24"/>
          <w:szCs w:val="24"/>
        </w:rPr>
        <w:t xml:space="preserve"> un concepto excesivamente amplio y genérico, mismo que era utilizado por el proyecto, como base para constituir la asociación ilícita</w:t>
      </w:r>
      <w:r w:rsidR="00764DB7">
        <w:rPr>
          <w:rFonts w:ascii="Garamond" w:eastAsia="Calibri" w:hAnsi="Garamond" w:cs="Times New Roman"/>
          <w:sz w:val="24"/>
          <w:szCs w:val="24"/>
        </w:rPr>
        <w:t xml:space="preserve"> para cometer </w:t>
      </w:r>
    </w:p>
    <w:p w14:paraId="0D1308D5" w14:textId="77777777" w:rsidR="00764DB7" w:rsidRDefault="00BA370F" w:rsidP="00CE6C99">
      <w:pPr>
        <w:jc w:val="both"/>
        <w:rPr>
          <w:rFonts w:ascii="Garamond" w:eastAsia="Calibri" w:hAnsi="Garamond" w:cs="Times New Roman"/>
          <w:sz w:val="24"/>
          <w:szCs w:val="24"/>
        </w:rPr>
      </w:pPr>
      <w:r>
        <w:rPr>
          <w:rFonts w:ascii="Garamond" w:eastAsia="Calibri" w:hAnsi="Garamond" w:cs="Times New Roman"/>
          <w:sz w:val="24"/>
          <w:szCs w:val="24"/>
        </w:rPr>
        <w:t>Por tanto, se solicitó tener presente el principio de legalidad, en una de sus</w:t>
      </w:r>
      <w:r w:rsidRPr="00BA370F">
        <w:rPr>
          <w:rFonts w:ascii="Garamond" w:eastAsia="Calibri" w:hAnsi="Garamond" w:cs="Times New Roman"/>
          <w:sz w:val="24"/>
          <w:szCs w:val="24"/>
        </w:rPr>
        <w:t xml:space="preserve"> tres manifestaciones</w:t>
      </w:r>
      <w:r>
        <w:rPr>
          <w:rFonts w:ascii="Garamond" w:eastAsia="Calibri" w:hAnsi="Garamond" w:cs="Times New Roman"/>
          <w:sz w:val="24"/>
          <w:szCs w:val="24"/>
        </w:rPr>
        <w:t xml:space="preserve">, que </w:t>
      </w:r>
      <w:r w:rsidRPr="00BA370F">
        <w:rPr>
          <w:rFonts w:ascii="Garamond" w:eastAsia="Calibri" w:hAnsi="Garamond" w:cs="Times New Roman"/>
          <w:sz w:val="24"/>
          <w:szCs w:val="24"/>
        </w:rPr>
        <w:t>se conoce como tipicidad o taxatividad, garantía que exige que la conducta que ha de sancionarse se encuentre estrictamente detalladas en los cuerpos normativos. Así, se asegura la igualdad ante la ley (que todo ciudadano quede sujeto a una norma de conducta definida) y, además, se mantiene la certeza jurídica</w:t>
      </w:r>
      <w:r>
        <w:rPr>
          <w:rFonts w:ascii="Garamond" w:eastAsia="Calibri" w:hAnsi="Garamond" w:cs="Times New Roman"/>
          <w:sz w:val="24"/>
          <w:szCs w:val="24"/>
        </w:rPr>
        <w:t>.</w:t>
      </w:r>
    </w:p>
    <w:p w14:paraId="2E467B2B" w14:textId="77777777" w:rsidR="00C25ED3" w:rsidRDefault="00764DB7" w:rsidP="00CE6C99">
      <w:pPr>
        <w:jc w:val="both"/>
        <w:rPr>
          <w:rFonts w:ascii="Garamond" w:eastAsia="Calibri" w:hAnsi="Garamond" w:cs="Times New Roman"/>
          <w:sz w:val="24"/>
          <w:szCs w:val="24"/>
        </w:rPr>
      </w:pPr>
      <w:r>
        <w:rPr>
          <w:rFonts w:ascii="Garamond" w:eastAsia="Calibri" w:hAnsi="Garamond" w:cs="Times New Roman"/>
          <w:sz w:val="24"/>
          <w:szCs w:val="24"/>
        </w:rPr>
        <w:t>Luego de haberse aprobado en general el proyecto, y dentro del plazo correspondiente, se presentaron indicaciones con el propósito de formalizar las observaciones efectuadas, las que fueron debatidas en la Comisión de Pesca.</w:t>
      </w:r>
    </w:p>
    <w:p w14:paraId="60EFE567" w14:textId="77777777" w:rsidR="00C25ED3" w:rsidRPr="001350CF" w:rsidRDefault="00764DB7" w:rsidP="001350CF">
      <w:pPr>
        <w:pStyle w:val="Prrafodelista"/>
        <w:numPr>
          <w:ilvl w:val="0"/>
          <w:numId w:val="1"/>
        </w:numPr>
        <w:jc w:val="both"/>
        <w:rPr>
          <w:rFonts w:ascii="Garamond" w:eastAsia="Calibri" w:hAnsi="Garamond" w:cs="Times New Roman"/>
          <w:b/>
          <w:i/>
          <w:sz w:val="24"/>
          <w:szCs w:val="24"/>
        </w:rPr>
      </w:pPr>
      <w:r w:rsidRPr="00764DB7">
        <w:rPr>
          <w:rFonts w:ascii="Garamond" w:eastAsia="Calibri" w:hAnsi="Garamond" w:cs="Times New Roman"/>
          <w:b/>
          <w:i/>
          <w:sz w:val="24"/>
          <w:szCs w:val="24"/>
        </w:rPr>
        <w:t>Indicaciones presentadas y su votación</w:t>
      </w:r>
    </w:p>
    <w:p w14:paraId="6E4096E1" w14:textId="77777777" w:rsidR="00C25ED3" w:rsidRPr="00C25ED3" w:rsidRDefault="00C25ED3" w:rsidP="00C25ED3">
      <w:pPr>
        <w:pStyle w:val="Prrafodelista"/>
        <w:numPr>
          <w:ilvl w:val="0"/>
          <w:numId w:val="2"/>
        </w:numPr>
        <w:jc w:val="both"/>
        <w:rPr>
          <w:rFonts w:ascii="Garamond" w:eastAsia="Calibri" w:hAnsi="Garamond" w:cs="Times New Roman"/>
          <w:b/>
          <w:i/>
          <w:sz w:val="24"/>
          <w:szCs w:val="24"/>
        </w:rPr>
      </w:pPr>
      <w:r w:rsidRPr="00C25ED3">
        <w:rPr>
          <w:rFonts w:ascii="Garamond" w:eastAsia="Calibri" w:hAnsi="Garamond" w:cs="Times New Roman"/>
          <w:b/>
          <w:i/>
          <w:sz w:val="24"/>
          <w:szCs w:val="24"/>
        </w:rPr>
        <w:t xml:space="preserve">Al artículo 9 propuesto:  </w:t>
      </w:r>
    </w:p>
    <w:p w14:paraId="3EE9163F" w14:textId="2449142C" w:rsidR="00C25ED3" w:rsidRDefault="00C25ED3" w:rsidP="00C25ED3">
      <w:pPr>
        <w:ind w:left="360"/>
        <w:jc w:val="both"/>
        <w:rPr>
          <w:rFonts w:ascii="Garamond" w:eastAsia="Calibri" w:hAnsi="Garamond" w:cs="Times New Roman"/>
          <w:sz w:val="24"/>
          <w:szCs w:val="24"/>
        </w:rPr>
      </w:pPr>
      <w:r w:rsidRPr="00C25ED3">
        <w:rPr>
          <w:rFonts w:ascii="Garamond" w:eastAsia="Calibri" w:hAnsi="Garamond" w:cs="Times New Roman"/>
          <w:sz w:val="24"/>
          <w:szCs w:val="24"/>
        </w:rPr>
        <w:t xml:space="preserve">Sustitúyase el numeral </w:t>
      </w:r>
      <w:r w:rsidRPr="00C25ED3">
        <w:rPr>
          <w:rFonts w:ascii="Garamond" w:eastAsia="Calibri" w:hAnsi="Garamond" w:cs="Times New Roman"/>
          <w:sz w:val="24"/>
          <w:szCs w:val="24"/>
        </w:rPr>
        <w:t>1, que</w:t>
      </w:r>
      <w:r w:rsidRPr="00C25ED3">
        <w:rPr>
          <w:rFonts w:ascii="Garamond" w:eastAsia="Calibri" w:hAnsi="Garamond" w:cs="Times New Roman"/>
          <w:sz w:val="24"/>
          <w:szCs w:val="24"/>
        </w:rPr>
        <w:t xml:space="preserve"> agrega un nuevo número 72 al artículo 2 de </w:t>
      </w:r>
      <w:r w:rsidR="00C45E22" w:rsidRPr="00C25ED3">
        <w:rPr>
          <w:rFonts w:ascii="Garamond" w:eastAsia="Calibri" w:hAnsi="Garamond" w:cs="Times New Roman"/>
          <w:sz w:val="24"/>
          <w:szCs w:val="24"/>
        </w:rPr>
        <w:t>la Ley</w:t>
      </w:r>
      <w:r w:rsidRPr="00C25ED3">
        <w:rPr>
          <w:rFonts w:ascii="Garamond" w:eastAsia="Calibri" w:hAnsi="Garamond" w:cs="Times New Roman"/>
          <w:sz w:val="24"/>
          <w:szCs w:val="24"/>
        </w:rPr>
        <w:t xml:space="preserve"> General de Pesca y Acuicultura, por el que sigue: </w:t>
      </w:r>
    </w:p>
    <w:p w14:paraId="0F0746EE" w14:textId="77777777" w:rsidR="00C25ED3" w:rsidRDefault="00C25ED3" w:rsidP="00C25ED3">
      <w:pPr>
        <w:ind w:left="360"/>
        <w:jc w:val="both"/>
        <w:rPr>
          <w:rFonts w:ascii="Garamond" w:eastAsia="Calibri" w:hAnsi="Garamond" w:cs="Times New Roman"/>
          <w:sz w:val="24"/>
          <w:szCs w:val="24"/>
        </w:rPr>
      </w:pPr>
      <w:r w:rsidRPr="00C25ED3">
        <w:rPr>
          <w:rFonts w:ascii="Garamond" w:eastAsia="Calibri" w:hAnsi="Garamond" w:cs="Times New Roman"/>
          <w:b/>
          <w:i/>
          <w:sz w:val="24"/>
          <w:szCs w:val="24"/>
        </w:rPr>
        <w:t>“Pesca ilegal:</w:t>
      </w:r>
      <w:r w:rsidRPr="00C25ED3">
        <w:rPr>
          <w:rFonts w:ascii="Garamond" w:eastAsia="Calibri" w:hAnsi="Garamond" w:cs="Times New Roman"/>
          <w:sz w:val="24"/>
          <w:szCs w:val="24"/>
        </w:rPr>
        <w:t xml:space="preserve"> </w:t>
      </w:r>
      <w:r>
        <w:rPr>
          <w:rFonts w:ascii="Garamond" w:eastAsia="Calibri" w:hAnsi="Garamond" w:cs="Times New Roman"/>
          <w:sz w:val="24"/>
          <w:szCs w:val="24"/>
        </w:rPr>
        <w:t>A</w:t>
      </w:r>
      <w:r w:rsidRPr="00C25ED3">
        <w:rPr>
          <w:rFonts w:ascii="Garamond" w:eastAsia="Calibri" w:hAnsi="Garamond" w:cs="Times New Roman"/>
          <w:sz w:val="24"/>
          <w:szCs w:val="24"/>
        </w:rPr>
        <w:t xml:space="preserve">ctividad pesquera extractiva efectuada en aguas bajo la jurisdicción nacional o en alta mar, sea utilizando o no embarcaciones nacionales o extranjeras, que se </w:t>
      </w:r>
      <w:r w:rsidRPr="00C25ED3">
        <w:rPr>
          <w:rFonts w:ascii="Garamond" w:eastAsia="Calibri" w:hAnsi="Garamond" w:cs="Times New Roman"/>
          <w:sz w:val="24"/>
          <w:szCs w:val="24"/>
        </w:rPr>
        <w:t>realice incurriendo</w:t>
      </w:r>
      <w:r w:rsidRPr="00C25ED3">
        <w:rPr>
          <w:rFonts w:ascii="Garamond" w:eastAsia="Calibri" w:hAnsi="Garamond" w:cs="Times New Roman"/>
          <w:sz w:val="24"/>
          <w:szCs w:val="24"/>
        </w:rPr>
        <w:t xml:space="preserve"> en cualquiera de las conductas señaladas en el artículo 110 de la presente ley.</w:t>
      </w:r>
    </w:p>
    <w:p w14:paraId="2538DC59" w14:textId="77777777" w:rsidR="00307F2B" w:rsidRDefault="00C25ED3" w:rsidP="00C25ED3">
      <w:pPr>
        <w:ind w:left="360"/>
        <w:jc w:val="both"/>
        <w:rPr>
          <w:rFonts w:ascii="Garamond" w:eastAsia="Calibri" w:hAnsi="Garamond" w:cs="Times New Roman"/>
          <w:sz w:val="24"/>
          <w:szCs w:val="24"/>
        </w:rPr>
      </w:pPr>
      <w:r w:rsidRPr="0012673C">
        <w:rPr>
          <w:rFonts w:ascii="Garamond" w:eastAsia="Calibri" w:hAnsi="Garamond" w:cs="Times New Roman"/>
          <w:b/>
          <w:i/>
          <w:sz w:val="24"/>
          <w:szCs w:val="24"/>
        </w:rPr>
        <w:lastRenderedPageBreak/>
        <w:t>Argumentación:</w:t>
      </w:r>
      <w:r>
        <w:rPr>
          <w:rFonts w:ascii="Garamond" w:eastAsia="Calibri" w:hAnsi="Garamond" w:cs="Times New Roman"/>
          <w:sz w:val="24"/>
          <w:szCs w:val="24"/>
        </w:rPr>
        <w:t xml:space="preserve"> Esta indicación se presenta, e</w:t>
      </w:r>
      <w:r w:rsidRPr="00C25ED3">
        <w:rPr>
          <w:rFonts w:ascii="Garamond" w:eastAsia="Calibri" w:hAnsi="Garamond" w:cs="Times New Roman"/>
          <w:sz w:val="24"/>
          <w:szCs w:val="24"/>
        </w:rPr>
        <w:t xml:space="preserve">n primer lugar, </w:t>
      </w:r>
      <w:r>
        <w:rPr>
          <w:rFonts w:ascii="Garamond" w:eastAsia="Calibri" w:hAnsi="Garamond" w:cs="Times New Roman"/>
          <w:sz w:val="24"/>
          <w:szCs w:val="24"/>
        </w:rPr>
        <w:t xml:space="preserve">para eliminar </w:t>
      </w:r>
      <w:r w:rsidRPr="00C25ED3">
        <w:rPr>
          <w:rFonts w:ascii="Garamond" w:eastAsia="Calibri" w:hAnsi="Garamond" w:cs="Times New Roman"/>
          <w:sz w:val="24"/>
          <w:szCs w:val="24"/>
        </w:rPr>
        <w:t>la definición que se plantea</w:t>
      </w:r>
      <w:r>
        <w:rPr>
          <w:rFonts w:ascii="Garamond" w:eastAsia="Calibri" w:hAnsi="Garamond" w:cs="Times New Roman"/>
          <w:sz w:val="24"/>
          <w:szCs w:val="24"/>
        </w:rPr>
        <w:t>ba originalmente en el proyecto, siendo esta amplia e</w:t>
      </w:r>
      <w:r w:rsidRPr="00C25ED3">
        <w:rPr>
          <w:rFonts w:ascii="Garamond" w:eastAsia="Calibri" w:hAnsi="Garamond" w:cs="Times New Roman"/>
          <w:sz w:val="24"/>
          <w:szCs w:val="24"/>
        </w:rPr>
        <w:t xml:space="preserve"> imprecisa, ya que defin</w:t>
      </w:r>
      <w:r>
        <w:rPr>
          <w:rFonts w:ascii="Garamond" w:eastAsia="Calibri" w:hAnsi="Garamond" w:cs="Times New Roman"/>
          <w:sz w:val="24"/>
          <w:szCs w:val="24"/>
        </w:rPr>
        <w:t>ía</w:t>
      </w:r>
      <w:r w:rsidRPr="00C25ED3">
        <w:rPr>
          <w:rFonts w:ascii="Garamond" w:eastAsia="Calibri" w:hAnsi="Garamond" w:cs="Times New Roman"/>
          <w:sz w:val="24"/>
          <w:szCs w:val="24"/>
        </w:rPr>
        <w:t xml:space="preserve"> a la pesca ilegal, como la “actividad pesquera extractiva efectuada en aguas bajo la jurisdicción nacional o en alta mar, sea utilizando o no embarcaciones nacionales o extranjeras, en contravención a la normativa pesquera nacional vigente o a aquella establecida por organismos regionales o internacionales de los cuales Chile es parte. También se considera como pesca ilegal el uso de recursos hidrobiológicos contraviniendo la normativa nacional vigente en las actividades de transformación, elaboración, transporte, almacenamiento y comercialización de recursos hidrobiológicos o productos derivados de éstos.”</w:t>
      </w:r>
    </w:p>
    <w:p w14:paraId="116A0B8A" w14:textId="77777777" w:rsidR="0012673C" w:rsidRDefault="00307F2B" w:rsidP="00307F2B">
      <w:pPr>
        <w:ind w:left="360"/>
        <w:jc w:val="both"/>
        <w:rPr>
          <w:rFonts w:ascii="Garamond" w:eastAsia="Calibri" w:hAnsi="Garamond" w:cs="Times New Roman"/>
          <w:sz w:val="24"/>
          <w:szCs w:val="24"/>
        </w:rPr>
      </w:pPr>
      <w:r w:rsidRPr="00307F2B">
        <w:rPr>
          <w:rFonts w:ascii="Garamond" w:eastAsia="Calibri" w:hAnsi="Garamond" w:cs="Times New Roman"/>
          <w:sz w:val="24"/>
          <w:szCs w:val="24"/>
        </w:rPr>
        <w:t>Del análisis de la normativa en su conjunto (ley de pesca) se desprende que las conductas que podrían considerarse comprendidas en un concepto de “pesca ilegal”- entendida como la actividad de extracción efectuada en contravención a las normas que rigen la misma actividad- se describen y sancionan en los artículos 107 a 121 ter de la Ley de Pesca y acuicultura, misma que establece diversas sanciones de carácter administrativo y pecuniario. No se estim</w:t>
      </w:r>
      <w:r>
        <w:rPr>
          <w:rFonts w:ascii="Garamond" w:eastAsia="Calibri" w:hAnsi="Garamond" w:cs="Times New Roman"/>
          <w:sz w:val="24"/>
          <w:szCs w:val="24"/>
        </w:rPr>
        <w:t xml:space="preserve">ó </w:t>
      </w:r>
      <w:r w:rsidRPr="00307F2B">
        <w:rPr>
          <w:rFonts w:ascii="Garamond" w:eastAsia="Calibri" w:hAnsi="Garamond" w:cs="Times New Roman"/>
          <w:sz w:val="24"/>
          <w:szCs w:val="24"/>
        </w:rPr>
        <w:t xml:space="preserve">pertinente la creación de un concepto de “pesca ilegal” solo para efectos de pre constituir un delito de asociación ilícita conformada a efectos de cometer dicha infracción. La asociación ilícita es un tipo penal que debe reservarse para la comisión de crímenes o simples delitos (y especialmente en el marco del crimen organizado) y no meras faltas administrativas. Lo que se busca es evitar la criminalización de conductas reguladas y sancionadas </w:t>
      </w:r>
      <w:proofErr w:type="gramStart"/>
      <w:r w:rsidRPr="00307F2B">
        <w:rPr>
          <w:rFonts w:ascii="Garamond" w:eastAsia="Calibri" w:hAnsi="Garamond" w:cs="Times New Roman"/>
          <w:sz w:val="24"/>
          <w:szCs w:val="24"/>
        </w:rPr>
        <w:t>de acu</w:t>
      </w:r>
      <w:r>
        <w:rPr>
          <w:rFonts w:ascii="Garamond" w:eastAsia="Calibri" w:hAnsi="Garamond" w:cs="Times New Roman"/>
          <w:sz w:val="24"/>
          <w:szCs w:val="24"/>
        </w:rPr>
        <w:t>er</w:t>
      </w:r>
      <w:r w:rsidRPr="00307F2B">
        <w:rPr>
          <w:rFonts w:ascii="Garamond" w:eastAsia="Calibri" w:hAnsi="Garamond" w:cs="Times New Roman"/>
          <w:sz w:val="24"/>
          <w:szCs w:val="24"/>
        </w:rPr>
        <w:t>do a</w:t>
      </w:r>
      <w:proofErr w:type="gramEnd"/>
      <w:r w:rsidRPr="00307F2B">
        <w:rPr>
          <w:rFonts w:ascii="Garamond" w:eastAsia="Calibri" w:hAnsi="Garamond" w:cs="Times New Roman"/>
          <w:sz w:val="24"/>
          <w:szCs w:val="24"/>
        </w:rPr>
        <w:t xml:space="preserve"> las normas del derecho administrativo sancionatorio.</w:t>
      </w:r>
    </w:p>
    <w:p w14:paraId="2C49725E" w14:textId="77777777" w:rsidR="00C25ED3" w:rsidRDefault="0012673C" w:rsidP="00C25ED3">
      <w:pPr>
        <w:ind w:left="360"/>
        <w:jc w:val="both"/>
        <w:rPr>
          <w:rFonts w:ascii="Garamond" w:eastAsia="Calibri" w:hAnsi="Garamond" w:cs="Times New Roman"/>
          <w:sz w:val="24"/>
          <w:szCs w:val="24"/>
        </w:rPr>
      </w:pPr>
      <w:r>
        <w:rPr>
          <w:rFonts w:ascii="Garamond" w:eastAsia="Calibri" w:hAnsi="Garamond" w:cs="Times New Roman"/>
          <w:sz w:val="24"/>
          <w:szCs w:val="24"/>
        </w:rPr>
        <w:t>Como alternativa</w:t>
      </w:r>
      <w:r w:rsidR="00307F2B">
        <w:rPr>
          <w:rFonts w:ascii="Garamond" w:eastAsia="Calibri" w:hAnsi="Garamond" w:cs="Times New Roman"/>
          <w:sz w:val="24"/>
          <w:szCs w:val="24"/>
        </w:rPr>
        <w:t xml:space="preserve"> entonces</w:t>
      </w:r>
      <w:r>
        <w:rPr>
          <w:rFonts w:ascii="Garamond" w:eastAsia="Calibri" w:hAnsi="Garamond" w:cs="Times New Roman"/>
          <w:sz w:val="24"/>
          <w:szCs w:val="24"/>
        </w:rPr>
        <w:t xml:space="preserve">, se </w:t>
      </w:r>
      <w:r w:rsidR="00524F60">
        <w:rPr>
          <w:rFonts w:ascii="Garamond" w:eastAsia="Calibri" w:hAnsi="Garamond" w:cs="Times New Roman"/>
          <w:sz w:val="24"/>
          <w:szCs w:val="24"/>
        </w:rPr>
        <w:t>propuso asociar</w:t>
      </w:r>
      <w:r>
        <w:rPr>
          <w:rFonts w:ascii="Garamond" w:eastAsia="Calibri" w:hAnsi="Garamond" w:cs="Times New Roman"/>
          <w:sz w:val="24"/>
          <w:szCs w:val="24"/>
        </w:rPr>
        <w:t xml:space="preserve"> la pesca ilegal, a conductas ya reguladas en la misma ley (Art 110), a efectos de entender que </w:t>
      </w:r>
      <w:r w:rsidR="00524F60">
        <w:rPr>
          <w:rFonts w:ascii="Garamond" w:eastAsia="Calibri" w:hAnsi="Garamond" w:cs="Times New Roman"/>
          <w:sz w:val="24"/>
          <w:szCs w:val="24"/>
        </w:rPr>
        <w:t>incurrirían en ella</w:t>
      </w:r>
      <w:r>
        <w:rPr>
          <w:rFonts w:ascii="Garamond" w:eastAsia="Calibri" w:hAnsi="Garamond" w:cs="Times New Roman"/>
          <w:sz w:val="24"/>
          <w:szCs w:val="24"/>
        </w:rPr>
        <w:t>, quienes efectuaran actividades pesqueras extractivas- por ejemplo-  en periodo de veda.</w:t>
      </w:r>
    </w:p>
    <w:p w14:paraId="18B553B2" w14:textId="77777777" w:rsidR="0012673C" w:rsidRDefault="0012673C" w:rsidP="00C25ED3">
      <w:pPr>
        <w:ind w:left="360"/>
        <w:jc w:val="both"/>
        <w:rPr>
          <w:rFonts w:ascii="Garamond" w:eastAsia="Calibri" w:hAnsi="Garamond" w:cs="Times New Roman"/>
          <w:sz w:val="24"/>
          <w:szCs w:val="24"/>
        </w:rPr>
      </w:pPr>
      <w:r w:rsidRPr="00524F60">
        <w:rPr>
          <w:rFonts w:ascii="Garamond" w:eastAsia="Calibri" w:hAnsi="Garamond" w:cs="Times New Roman"/>
          <w:b/>
          <w:sz w:val="24"/>
          <w:szCs w:val="24"/>
        </w:rPr>
        <w:t>Votación de la indicación en la Comisión de Pesca:</w:t>
      </w:r>
      <w:r w:rsidR="00FA7ADD">
        <w:rPr>
          <w:rFonts w:ascii="Garamond" w:eastAsia="Calibri" w:hAnsi="Garamond" w:cs="Times New Roman"/>
          <w:sz w:val="24"/>
          <w:szCs w:val="24"/>
        </w:rPr>
        <w:t xml:space="preserve"> Si bien la indicación fue rechazada (en forma) se acoge su idea subyacente, dado que</w:t>
      </w:r>
      <w:r w:rsidR="00307F2B">
        <w:rPr>
          <w:rFonts w:ascii="Garamond" w:eastAsia="Calibri" w:hAnsi="Garamond" w:cs="Times New Roman"/>
          <w:sz w:val="24"/>
          <w:szCs w:val="24"/>
        </w:rPr>
        <w:t xml:space="preserve"> se modifica el artículo 107 de la ley de pesca, agregando un inciso segundo del siguiente tenor: “</w:t>
      </w:r>
      <w:r w:rsidR="00307F2B" w:rsidRPr="00307F2B">
        <w:rPr>
          <w:rFonts w:ascii="Garamond" w:eastAsia="Calibri" w:hAnsi="Garamond" w:cs="Times New Roman"/>
          <w:sz w:val="24"/>
          <w:szCs w:val="24"/>
        </w:rPr>
        <w:t>Toda infracción a las prohibiciones previstas en el inciso anterior son constitutivas de pesca ilegal</w:t>
      </w:r>
      <w:r w:rsidR="00307F2B">
        <w:rPr>
          <w:rFonts w:ascii="Garamond" w:eastAsia="Calibri" w:hAnsi="Garamond" w:cs="Times New Roman"/>
          <w:sz w:val="24"/>
          <w:szCs w:val="24"/>
        </w:rPr>
        <w:t>”</w:t>
      </w:r>
    </w:p>
    <w:p w14:paraId="7F589B71" w14:textId="77777777" w:rsidR="00307F2B" w:rsidRDefault="00307F2B" w:rsidP="00C25ED3">
      <w:pPr>
        <w:ind w:left="360"/>
        <w:jc w:val="both"/>
        <w:rPr>
          <w:rFonts w:ascii="Garamond" w:eastAsia="Calibri" w:hAnsi="Garamond" w:cs="Times New Roman"/>
          <w:sz w:val="24"/>
          <w:szCs w:val="24"/>
        </w:rPr>
      </w:pPr>
      <w:r>
        <w:rPr>
          <w:rFonts w:ascii="Garamond" w:eastAsia="Calibri" w:hAnsi="Garamond" w:cs="Times New Roman"/>
          <w:sz w:val="24"/>
          <w:szCs w:val="24"/>
        </w:rPr>
        <w:t>Por otra parte</w:t>
      </w:r>
      <w:r w:rsidR="00FF2AF6">
        <w:rPr>
          <w:rFonts w:ascii="Garamond" w:eastAsia="Calibri" w:hAnsi="Garamond" w:cs="Times New Roman"/>
          <w:sz w:val="24"/>
          <w:szCs w:val="24"/>
        </w:rPr>
        <w:t xml:space="preserve">, el concepto propiamente tal de pesca </w:t>
      </w:r>
      <w:r w:rsidR="001350CF">
        <w:rPr>
          <w:rFonts w:ascii="Garamond" w:eastAsia="Calibri" w:hAnsi="Garamond" w:cs="Times New Roman"/>
          <w:sz w:val="24"/>
          <w:szCs w:val="24"/>
        </w:rPr>
        <w:t>ilegal</w:t>
      </w:r>
      <w:r w:rsidR="00FF2AF6">
        <w:rPr>
          <w:rFonts w:ascii="Garamond" w:eastAsia="Calibri" w:hAnsi="Garamond" w:cs="Times New Roman"/>
          <w:sz w:val="24"/>
          <w:szCs w:val="24"/>
        </w:rPr>
        <w:t xml:space="preserve"> se reemplaza por el de acreditación del origen legal.</w:t>
      </w:r>
    </w:p>
    <w:p w14:paraId="05503EB5" w14:textId="77777777" w:rsidR="00FF2AF6" w:rsidRDefault="00FF2AF6" w:rsidP="00C25ED3">
      <w:pPr>
        <w:ind w:left="360"/>
        <w:jc w:val="both"/>
        <w:rPr>
          <w:rFonts w:ascii="Garamond" w:eastAsia="Calibri" w:hAnsi="Garamond" w:cs="Times New Roman"/>
          <w:sz w:val="24"/>
          <w:szCs w:val="24"/>
        </w:rPr>
      </w:pPr>
    </w:p>
    <w:p w14:paraId="72825495" w14:textId="77777777" w:rsidR="004A6117" w:rsidRDefault="004A6117" w:rsidP="004A6117">
      <w:pPr>
        <w:pStyle w:val="Prrafodelista"/>
        <w:numPr>
          <w:ilvl w:val="0"/>
          <w:numId w:val="2"/>
        </w:numPr>
        <w:jc w:val="both"/>
        <w:rPr>
          <w:rFonts w:ascii="Garamond" w:eastAsia="Calibri" w:hAnsi="Garamond" w:cs="Times New Roman"/>
          <w:sz w:val="24"/>
          <w:szCs w:val="24"/>
        </w:rPr>
      </w:pPr>
      <w:r w:rsidRPr="004A6117">
        <w:rPr>
          <w:rFonts w:ascii="Garamond" w:eastAsia="Calibri" w:hAnsi="Garamond" w:cs="Times New Roman"/>
          <w:b/>
          <w:i/>
          <w:sz w:val="24"/>
          <w:szCs w:val="24"/>
        </w:rPr>
        <w:t>Al artículo 9 propuesto</w:t>
      </w:r>
      <w:r w:rsidRPr="004A6117">
        <w:rPr>
          <w:rFonts w:ascii="Garamond" w:eastAsia="Calibri" w:hAnsi="Garamond" w:cs="Times New Roman"/>
          <w:b/>
          <w:sz w:val="24"/>
          <w:szCs w:val="24"/>
        </w:rPr>
        <w:t>:</w:t>
      </w:r>
    </w:p>
    <w:p w14:paraId="0CF3C621" w14:textId="77777777" w:rsidR="004A6117" w:rsidRDefault="004A6117" w:rsidP="004A6117">
      <w:pPr>
        <w:pStyle w:val="Prrafodelista"/>
        <w:jc w:val="both"/>
        <w:rPr>
          <w:rFonts w:ascii="Garamond" w:eastAsia="Calibri" w:hAnsi="Garamond" w:cs="Times New Roman"/>
          <w:sz w:val="24"/>
          <w:szCs w:val="24"/>
        </w:rPr>
      </w:pPr>
    </w:p>
    <w:p w14:paraId="7F0485F9" w14:textId="77777777" w:rsidR="004A6117" w:rsidRDefault="004A6117" w:rsidP="004A6117">
      <w:pPr>
        <w:pStyle w:val="Prrafodelista"/>
        <w:jc w:val="both"/>
        <w:rPr>
          <w:rFonts w:ascii="Garamond" w:eastAsia="Calibri" w:hAnsi="Garamond" w:cs="Times New Roman"/>
          <w:sz w:val="24"/>
          <w:szCs w:val="24"/>
        </w:rPr>
      </w:pPr>
      <w:r w:rsidRPr="004A6117">
        <w:rPr>
          <w:rFonts w:ascii="Garamond" w:eastAsia="Calibri" w:hAnsi="Garamond" w:cs="Times New Roman"/>
          <w:sz w:val="24"/>
          <w:szCs w:val="24"/>
        </w:rPr>
        <w:t>Sustitúyase el numeral 20, por el que sigue:</w:t>
      </w:r>
      <w:r>
        <w:rPr>
          <w:rFonts w:ascii="Garamond" w:eastAsia="Calibri" w:hAnsi="Garamond" w:cs="Times New Roman"/>
          <w:sz w:val="24"/>
          <w:szCs w:val="24"/>
        </w:rPr>
        <w:t xml:space="preserve"> </w:t>
      </w:r>
      <w:r w:rsidRPr="004A6117">
        <w:rPr>
          <w:rFonts w:ascii="Garamond" w:eastAsia="Calibri" w:hAnsi="Garamond" w:cs="Times New Roman"/>
          <w:sz w:val="24"/>
          <w:szCs w:val="24"/>
        </w:rPr>
        <w:t>Agréguese, a continuación del artículo 140, el siguiente artículo 140 bis:</w:t>
      </w:r>
    </w:p>
    <w:p w14:paraId="6B94A52E" w14:textId="77777777" w:rsidR="004A6117" w:rsidRPr="004A6117" w:rsidRDefault="004A6117" w:rsidP="004A6117">
      <w:pPr>
        <w:pStyle w:val="Prrafodelista"/>
        <w:jc w:val="both"/>
        <w:rPr>
          <w:rFonts w:ascii="Garamond" w:eastAsia="Calibri" w:hAnsi="Garamond" w:cs="Times New Roman"/>
          <w:sz w:val="24"/>
          <w:szCs w:val="24"/>
        </w:rPr>
      </w:pPr>
    </w:p>
    <w:p w14:paraId="4091BC23" w14:textId="77777777" w:rsidR="004A6117" w:rsidRDefault="004A6117" w:rsidP="004A6117">
      <w:pPr>
        <w:pStyle w:val="Prrafodelista"/>
        <w:jc w:val="both"/>
        <w:rPr>
          <w:rFonts w:ascii="Garamond" w:eastAsia="Calibri" w:hAnsi="Garamond" w:cs="Times New Roman"/>
          <w:sz w:val="24"/>
          <w:szCs w:val="24"/>
        </w:rPr>
      </w:pPr>
      <w:r w:rsidRPr="004A6117">
        <w:rPr>
          <w:rFonts w:ascii="Garamond" w:eastAsia="Calibri" w:hAnsi="Garamond" w:cs="Times New Roman"/>
          <w:sz w:val="24"/>
          <w:szCs w:val="24"/>
        </w:rPr>
        <w:t xml:space="preserve">“Artículo 140 </w:t>
      </w:r>
      <w:proofErr w:type="gramStart"/>
      <w:r w:rsidRPr="004A6117">
        <w:rPr>
          <w:rFonts w:ascii="Garamond" w:eastAsia="Calibri" w:hAnsi="Garamond" w:cs="Times New Roman"/>
          <w:sz w:val="24"/>
          <w:szCs w:val="24"/>
        </w:rPr>
        <w:t>bis.-</w:t>
      </w:r>
      <w:proofErr w:type="gramEnd"/>
      <w:r w:rsidRPr="004A6117">
        <w:rPr>
          <w:rFonts w:ascii="Garamond" w:eastAsia="Calibri" w:hAnsi="Garamond" w:cs="Times New Roman"/>
          <w:sz w:val="24"/>
          <w:szCs w:val="24"/>
        </w:rPr>
        <w:t xml:space="preserve"> Los que se asociaren u organizaren con el objeto de llevar a cabo conductas descritas de conformidad con los artículos 135, 135 bis, 136, 136 bis, 137 y 139 de esta ley, serán sancionados por este solo hecho, de acuerdo a las normas establecidas en los artículos 292 a 295 del Código Penal</w:t>
      </w:r>
    </w:p>
    <w:p w14:paraId="31EB703E" w14:textId="77777777" w:rsidR="004A6117" w:rsidRDefault="004A6117" w:rsidP="004A6117">
      <w:pPr>
        <w:pStyle w:val="Prrafodelista"/>
        <w:jc w:val="both"/>
        <w:rPr>
          <w:rFonts w:ascii="Garamond" w:eastAsia="Calibri" w:hAnsi="Garamond" w:cs="Times New Roman"/>
          <w:sz w:val="24"/>
          <w:szCs w:val="24"/>
        </w:rPr>
      </w:pPr>
    </w:p>
    <w:p w14:paraId="303DD916" w14:textId="77777777" w:rsidR="00A926B8" w:rsidRDefault="004A6117" w:rsidP="00A926B8">
      <w:pPr>
        <w:pStyle w:val="Prrafodelista"/>
        <w:jc w:val="both"/>
        <w:rPr>
          <w:rFonts w:ascii="Garamond" w:eastAsia="Calibri" w:hAnsi="Garamond" w:cs="Times New Roman"/>
          <w:sz w:val="24"/>
          <w:szCs w:val="24"/>
        </w:rPr>
      </w:pPr>
      <w:r w:rsidRPr="004A6117">
        <w:rPr>
          <w:rFonts w:ascii="Garamond" w:eastAsia="Calibri" w:hAnsi="Garamond" w:cs="Times New Roman"/>
          <w:b/>
          <w:i/>
          <w:sz w:val="24"/>
          <w:szCs w:val="24"/>
        </w:rPr>
        <w:lastRenderedPageBreak/>
        <w:t>Argumentación:</w:t>
      </w:r>
      <w:r>
        <w:rPr>
          <w:rFonts w:ascii="Garamond" w:eastAsia="Calibri" w:hAnsi="Garamond" w:cs="Times New Roman"/>
          <w:b/>
          <w:i/>
          <w:sz w:val="24"/>
          <w:szCs w:val="24"/>
        </w:rPr>
        <w:t xml:space="preserve"> </w:t>
      </w:r>
      <w:r w:rsidRPr="004A6117">
        <w:rPr>
          <w:rFonts w:ascii="Garamond" w:eastAsia="Calibri" w:hAnsi="Garamond" w:cs="Times New Roman"/>
          <w:sz w:val="24"/>
          <w:szCs w:val="24"/>
        </w:rPr>
        <w:t xml:space="preserve">Se propuso circunscribir </w:t>
      </w:r>
      <w:r>
        <w:rPr>
          <w:rFonts w:ascii="Garamond" w:eastAsia="Calibri" w:hAnsi="Garamond" w:cs="Times New Roman"/>
          <w:sz w:val="24"/>
          <w:szCs w:val="24"/>
        </w:rPr>
        <w:t>la</w:t>
      </w:r>
      <w:r w:rsidRPr="004A6117">
        <w:rPr>
          <w:rFonts w:ascii="Garamond" w:eastAsia="Calibri" w:hAnsi="Garamond" w:cs="Times New Roman"/>
          <w:sz w:val="24"/>
          <w:szCs w:val="24"/>
        </w:rPr>
        <w:t xml:space="preserve"> configuración</w:t>
      </w:r>
      <w:r>
        <w:rPr>
          <w:rFonts w:ascii="Garamond" w:eastAsia="Calibri" w:hAnsi="Garamond" w:cs="Times New Roman"/>
          <w:sz w:val="24"/>
          <w:szCs w:val="24"/>
        </w:rPr>
        <w:t xml:space="preserve"> de la asociación ilícita</w:t>
      </w:r>
      <w:r w:rsidRPr="004A6117">
        <w:rPr>
          <w:rFonts w:ascii="Garamond" w:eastAsia="Calibri" w:hAnsi="Garamond" w:cs="Times New Roman"/>
          <w:sz w:val="24"/>
          <w:szCs w:val="24"/>
        </w:rPr>
        <w:t xml:space="preserve"> a las conductas base que efectivamente se encuentran tipificadas en la ley, con una descripción clara y pena asignada. Se reserva para aquellas que revisten mayor gravedad, como </w:t>
      </w:r>
      <w:r w:rsidR="00A926B8" w:rsidRPr="004A6117">
        <w:rPr>
          <w:rFonts w:ascii="Garamond" w:eastAsia="Calibri" w:hAnsi="Garamond" w:cs="Times New Roman"/>
          <w:sz w:val="24"/>
          <w:szCs w:val="24"/>
        </w:rPr>
        <w:t>la introducción</w:t>
      </w:r>
      <w:r w:rsidRPr="004A6117">
        <w:rPr>
          <w:rFonts w:ascii="Garamond" w:eastAsia="Calibri" w:hAnsi="Garamond" w:cs="Times New Roman"/>
          <w:sz w:val="24"/>
          <w:szCs w:val="24"/>
        </w:rPr>
        <w:t>, investigación, cultivo o comercialización con organismos genéticamente modificados sin contar con la autorización correspondiente, o la introducción al mar, ríos, lagos o cualquier otro cuerpo de aguas, de agentes contaminantes químicos, biológicos o físicos que causen daño a los recursos hidrobiológicos, sin que previamente hayan sido neutralizados para evitar tales daños</w:t>
      </w:r>
      <w:r w:rsidR="00A926B8">
        <w:rPr>
          <w:rFonts w:ascii="Garamond" w:eastAsia="Calibri" w:hAnsi="Garamond" w:cs="Times New Roman"/>
          <w:sz w:val="24"/>
          <w:szCs w:val="24"/>
        </w:rPr>
        <w:t>. Junto con lo anterior, se propuso no introducir un nuevo concepto de asociación ilícita, sino solo efectuar una remisión a las normas generales del Código Penal.</w:t>
      </w:r>
    </w:p>
    <w:p w14:paraId="4FBDDD4F" w14:textId="77777777" w:rsidR="00A926B8" w:rsidRDefault="00A926B8" w:rsidP="00A926B8">
      <w:pPr>
        <w:pStyle w:val="Prrafodelista"/>
        <w:jc w:val="both"/>
        <w:rPr>
          <w:rFonts w:ascii="Garamond" w:eastAsia="Calibri" w:hAnsi="Garamond" w:cs="Times New Roman"/>
          <w:sz w:val="24"/>
          <w:szCs w:val="24"/>
        </w:rPr>
      </w:pPr>
      <w:r>
        <w:rPr>
          <w:rFonts w:ascii="Garamond" w:eastAsia="Calibri" w:hAnsi="Garamond" w:cs="Times New Roman"/>
          <w:sz w:val="24"/>
          <w:szCs w:val="24"/>
        </w:rPr>
        <w:t xml:space="preserve"> </w:t>
      </w:r>
    </w:p>
    <w:p w14:paraId="41E00201" w14:textId="77777777" w:rsidR="006A3414" w:rsidRDefault="00A926B8" w:rsidP="00A926B8">
      <w:pPr>
        <w:pStyle w:val="Prrafodelista"/>
        <w:jc w:val="both"/>
        <w:rPr>
          <w:rFonts w:ascii="Garamond" w:eastAsia="Calibri" w:hAnsi="Garamond" w:cs="Times New Roman"/>
          <w:sz w:val="24"/>
          <w:szCs w:val="24"/>
        </w:rPr>
      </w:pPr>
      <w:r>
        <w:rPr>
          <w:rFonts w:ascii="Garamond" w:eastAsia="Calibri" w:hAnsi="Garamond" w:cs="Times New Roman"/>
          <w:b/>
          <w:i/>
          <w:sz w:val="24"/>
          <w:szCs w:val="24"/>
        </w:rPr>
        <w:t xml:space="preserve">Votación de la indicación: </w:t>
      </w:r>
      <w:r w:rsidRPr="00A926B8">
        <w:rPr>
          <w:rFonts w:ascii="Garamond" w:eastAsia="Calibri" w:hAnsi="Garamond" w:cs="Times New Roman"/>
          <w:sz w:val="24"/>
          <w:szCs w:val="24"/>
        </w:rPr>
        <w:t>Se rechaza</w:t>
      </w:r>
      <w:r>
        <w:rPr>
          <w:rFonts w:ascii="Garamond" w:eastAsia="Calibri" w:hAnsi="Garamond" w:cs="Times New Roman"/>
          <w:sz w:val="24"/>
          <w:szCs w:val="24"/>
        </w:rPr>
        <w:t xml:space="preserve">, manteniendo la idea </w:t>
      </w:r>
      <w:r w:rsidR="006A3414">
        <w:rPr>
          <w:rFonts w:ascii="Garamond" w:eastAsia="Calibri" w:hAnsi="Garamond" w:cs="Times New Roman"/>
          <w:sz w:val="24"/>
          <w:szCs w:val="24"/>
        </w:rPr>
        <w:t xml:space="preserve">de crear un tipo especial de asociación ilícita, en materia pesquera. </w:t>
      </w:r>
    </w:p>
    <w:p w14:paraId="49B9C631" w14:textId="22979B4D" w:rsidR="006A3414" w:rsidRDefault="006A3414" w:rsidP="00A926B8">
      <w:pPr>
        <w:pStyle w:val="Prrafodelista"/>
        <w:jc w:val="both"/>
        <w:rPr>
          <w:rFonts w:ascii="Garamond" w:eastAsia="Calibri" w:hAnsi="Garamond" w:cs="Times New Roman"/>
          <w:sz w:val="24"/>
          <w:szCs w:val="24"/>
        </w:rPr>
      </w:pPr>
      <w:r>
        <w:rPr>
          <w:rFonts w:ascii="Garamond" w:eastAsia="Calibri" w:hAnsi="Garamond" w:cs="Times New Roman"/>
          <w:sz w:val="24"/>
          <w:szCs w:val="24"/>
        </w:rPr>
        <w:t xml:space="preserve">Además, se extiende la posibilidad de constituir el delito de asociación ilícita respecto de todos los delitos establecidos en el título X, sin excluir aquellos que no revistan la entidad suficiente. </w:t>
      </w:r>
    </w:p>
    <w:p w14:paraId="76F519DE" w14:textId="51C76BAB" w:rsidR="006A3414" w:rsidRDefault="006A3414" w:rsidP="00735B12">
      <w:pPr>
        <w:pStyle w:val="Prrafodelista"/>
        <w:jc w:val="both"/>
        <w:rPr>
          <w:rFonts w:ascii="Garamond" w:eastAsia="Calibri" w:hAnsi="Garamond" w:cs="Times New Roman"/>
          <w:b/>
          <w:i/>
          <w:sz w:val="24"/>
          <w:szCs w:val="24"/>
          <w:lang w:val="es-ES_tradnl"/>
        </w:rPr>
      </w:pPr>
      <w:r>
        <w:rPr>
          <w:rFonts w:ascii="Garamond" w:eastAsia="Calibri" w:hAnsi="Garamond" w:cs="Times New Roman"/>
          <w:sz w:val="24"/>
          <w:szCs w:val="24"/>
        </w:rPr>
        <w:t xml:space="preserve">Se debe prevenir que los elementos incluidos son complejos, sobre </w:t>
      </w:r>
      <w:r w:rsidR="00C45E22">
        <w:rPr>
          <w:rFonts w:ascii="Garamond" w:eastAsia="Calibri" w:hAnsi="Garamond" w:cs="Times New Roman"/>
          <w:sz w:val="24"/>
          <w:szCs w:val="24"/>
        </w:rPr>
        <w:t xml:space="preserve">todo </w:t>
      </w:r>
      <w:r w:rsidR="00735B12">
        <w:rPr>
          <w:rFonts w:ascii="Garamond" w:eastAsia="Calibri" w:hAnsi="Garamond" w:cs="Times New Roman"/>
          <w:sz w:val="24"/>
          <w:szCs w:val="24"/>
        </w:rPr>
        <w:t xml:space="preserve">al establecer que </w:t>
      </w:r>
      <w:r w:rsidRPr="00735B12">
        <w:rPr>
          <w:rFonts w:ascii="Garamond" w:eastAsia="Calibri" w:hAnsi="Garamond" w:cs="Times New Roman"/>
          <w:sz w:val="24"/>
          <w:szCs w:val="24"/>
          <w:lang w:val="es-ES_tradnl"/>
        </w:rPr>
        <w:t>la asociación se entenderá efectivamente organizada</w:t>
      </w:r>
      <w:r w:rsidR="00735B12">
        <w:rPr>
          <w:rFonts w:ascii="Garamond" w:eastAsia="Calibri" w:hAnsi="Garamond" w:cs="Times New Roman"/>
          <w:sz w:val="24"/>
          <w:szCs w:val="24"/>
          <w:lang w:val="es-ES_tradnl"/>
        </w:rPr>
        <w:t>,</w:t>
      </w:r>
      <w:r w:rsidRPr="00735B12">
        <w:rPr>
          <w:rFonts w:ascii="Garamond" w:eastAsia="Calibri" w:hAnsi="Garamond" w:cs="Times New Roman"/>
          <w:sz w:val="24"/>
          <w:szCs w:val="24"/>
          <w:lang w:val="es-ES_tradnl"/>
        </w:rPr>
        <w:t xml:space="preserve"> en atención a la cantidad de sus miembros, su dotación de recursos y medios,</w:t>
      </w:r>
      <w:r w:rsidRPr="00735B12">
        <w:rPr>
          <w:rFonts w:ascii="Garamond" w:eastAsia="Calibri" w:hAnsi="Garamond" w:cs="Times New Roman"/>
          <w:b/>
          <w:i/>
          <w:sz w:val="24"/>
          <w:szCs w:val="24"/>
          <w:lang w:val="es-ES_tradnl"/>
        </w:rPr>
        <w:t xml:space="preserve"> así como su capacidad de planificación e incidencia sostenida en el tiempo</w:t>
      </w:r>
      <w:r w:rsidR="00735B12">
        <w:rPr>
          <w:rFonts w:ascii="Garamond" w:eastAsia="Calibri" w:hAnsi="Garamond" w:cs="Times New Roman"/>
          <w:b/>
          <w:i/>
          <w:sz w:val="24"/>
          <w:szCs w:val="24"/>
          <w:lang w:val="es-ES_tradnl"/>
        </w:rPr>
        <w:t xml:space="preserve"> (elementos de prueba complejos)</w:t>
      </w:r>
    </w:p>
    <w:p w14:paraId="33EE5236" w14:textId="77777777" w:rsidR="00735B12" w:rsidRDefault="00735B12" w:rsidP="00735B12">
      <w:pPr>
        <w:pStyle w:val="Prrafodelista"/>
        <w:jc w:val="both"/>
        <w:rPr>
          <w:rFonts w:ascii="Garamond" w:eastAsia="Calibri" w:hAnsi="Garamond" w:cs="Times New Roman"/>
          <w:b/>
          <w:i/>
          <w:sz w:val="24"/>
          <w:szCs w:val="24"/>
        </w:rPr>
      </w:pPr>
    </w:p>
    <w:p w14:paraId="58D49F22" w14:textId="77777777" w:rsidR="00735B12" w:rsidRDefault="00735B12" w:rsidP="00735B12">
      <w:pPr>
        <w:pStyle w:val="Prrafodelista"/>
        <w:jc w:val="both"/>
        <w:rPr>
          <w:rFonts w:ascii="Garamond" w:eastAsia="Calibri" w:hAnsi="Garamond" w:cs="Times New Roman"/>
          <w:b/>
          <w:i/>
          <w:sz w:val="24"/>
          <w:szCs w:val="24"/>
        </w:rPr>
      </w:pPr>
      <w:r>
        <w:rPr>
          <w:rFonts w:ascii="Garamond" w:eastAsia="Calibri" w:hAnsi="Garamond" w:cs="Times New Roman"/>
          <w:b/>
          <w:i/>
          <w:sz w:val="24"/>
          <w:szCs w:val="24"/>
        </w:rPr>
        <w:t>Anexo (recomendaciones)</w:t>
      </w:r>
    </w:p>
    <w:p w14:paraId="6FE9BA0F" w14:textId="77777777" w:rsidR="00735B12" w:rsidRDefault="00735B12" w:rsidP="00735B12">
      <w:pPr>
        <w:pStyle w:val="Prrafodelista"/>
        <w:jc w:val="both"/>
        <w:rPr>
          <w:rFonts w:ascii="Garamond" w:eastAsia="Calibri" w:hAnsi="Garamond" w:cs="Times New Roman"/>
          <w:b/>
          <w:i/>
          <w:sz w:val="24"/>
          <w:szCs w:val="24"/>
        </w:rPr>
      </w:pPr>
    </w:p>
    <w:p w14:paraId="7493C210" w14:textId="77777777" w:rsidR="00B1737C" w:rsidRDefault="00735B12" w:rsidP="001350CF">
      <w:pPr>
        <w:pStyle w:val="Prrafodelista"/>
        <w:numPr>
          <w:ilvl w:val="0"/>
          <w:numId w:val="3"/>
        </w:numPr>
        <w:jc w:val="both"/>
        <w:rPr>
          <w:rFonts w:ascii="Garamond" w:eastAsia="Calibri" w:hAnsi="Garamond" w:cs="Times New Roman"/>
          <w:sz w:val="24"/>
          <w:szCs w:val="24"/>
        </w:rPr>
      </w:pPr>
      <w:r w:rsidRPr="00B1737C">
        <w:rPr>
          <w:rFonts w:ascii="Garamond" w:eastAsia="Calibri" w:hAnsi="Garamond" w:cs="Times New Roman"/>
          <w:sz w:val="24"/>
          <w:szCs w:val="24"/>
        </w:rPr>
        <w:t xml:space="preserve">Respecto de los tipos penales establecidos: Se recomienda una revisión general de los preceptos relativos a la sanción penal de conductas, establecidos en los </w:t>
      </w:r>
      <w:r w:rsidR="00663A41" w:rsidRPr="00B1737C">
        <w:rPr>
          <w:rFonts w:ascii="Garamond" w:eastAsia="Calibri" w:hAnsi="Garamond" w:cs="Times New Roman"/>
          <w:sz w:val="24"/>
          <w:szCs w:val="24"/>
        </w:rPr>
        <w:t>artículos</w:t>
      </w:r>
      <w:r w:rsidRPr="00B1737C">
        <w:rPr>
          <w:rFonts w:ascii="Garamond" w:eastAsia="Calibri" w:hAnsi="Garamond" w:cs="Times New Roman"/>
          <w:sz w:val="24"/>
          <w:szCs w:val="24"/>
        </w:rPr>
        <w:t xml:space="preserve"> 139 y siguientes, sobre todo en cuanto a los elementos subjetivos exigidos para su configuración. Dado que el régimen de responsabilidad penal por conductas imprudentes en nuestro </w:t>
      </w:r>
      <w:r w:rsidR="001350CF" w:rsidRPr="00B1737C">
        <w:rPr>
          <w:rFonts w:ascii="Garamond" w:eastAsia="Calibri" w:hAnsi="Garamond" w:cs="Times New Roman"/>
          <w:sz w:val="24"/>
          <w:szCs w:val="24"/>
        </w:rPr>
        <w:t>ordenamiento</w:t>
      </w:r>
      <w:r w:rsidRPr="00B1737C">
        <w:rPr>
          <w:rFonts w:ascii="Garamond" w:eastAsia="Calibri" w:hAnsi="Garamond" w:cs="Times New Roman"/>
          <w:sz w:val="24"/>
          <w:szCs w:val="24"/>
        </w:rPr>
        <w:t xml:space="preserve"> obedece a un sistema de incriminación cerrado, se debe regular con mayor precisión la creación de figuras que puedan constituir cuasidelitos (</w:t>
      </w:r>
      <w:proofErr w:type="spellStart"/>
      <w:r w:rsidRPr="00B1737C">
        <w:rPr>
          <w:rFonts w:ascii="Garamond" w:eastAsia="Calibri" w:hAnsi="Garamond" w:cs="Times New Roman"/>
          <w:sz w:val="24"/>
          <w:szCs w:val="24"/>
        </w:rPr>
        <w:t>ej</w:t>
      </w:r>
      <w:proofErr w:type="spellEnd"/>
      <w:r w:rsidRPr="00B1737C">
        <w:rPr>
          <w:rFonts w:ascii="Garamond" w:eastAsia="Calibri" w:hAnsi="Garamond" w:cs="Times New Roman"/>
          <w:sz w:val="24"/>
          <w:szCs w:val="24"/>
        </w:rPr>
        <w:t xml:space="preserve">: determinar </w:t>
      </w:r>
      <w:r w:rsidR="00B1737C" w:rsidRPr="00B1737C">
        <w:rPr>
          <w:rFonts w:ascii="Garamond" w:eastAsia="Calibri" w:hAnsi="Garamond" w:cs="Times New Roman"/>
          <w:sz w:val="24"/>
          <w:szCs w:val="24"/>
        </w:rPr>
        <w:t>cuál</w:t>
      </w:r>
      <w:r w:rsidRPr="00B1737C">
        <w:rPr>
          <w:rFonts w:ascii="Garamond" w:eastAsia="Calibri" w:hAnsi="Garamond" w:cs="Times New Roman"/>
          <w:sz w:val="24"/>
          <w:szCs w:val="24"/>
        </w:rPr>
        <w:t xml:space="preserve"> es el tipo de negligencia requerido)</w:t>
      </w:r>
    </w:p>
    <w:p w14:paraId="6388E050" w14:textId="77777777" w:rsidR="00B1737C" w:rsidRPr="00B1737C" w:rsidRDefault="00B1737C" w:rsidP="001350CF">
      <w:pPr>
        <w:pStyle w:val="Prrafodelista"/>
        <w:ind w:left="1080"/>
        <w:jc w:val="both"/>
        <w:rPr>
          <w:rFonts w:ascii="Garamond" w:eastAsia="Calibri" w:hAnsi="Garamond" w:cs="Times New Roman"/>
          <w:sz w:val="24"/>
          <w:szCs w:val="24"/>
        </w:rPr>
      </w:pPr>
    </w:p>
    <w:p w14:paraId="15124AAF" w14:textId="77777777" w:rsidR="00B1737C" w:rsidRDefault="00735B12" w:rsidP="001350CF">
      <w:pPr>
        <w:pStyle w:val="Prrafodelista"/>
        <w:numPr>
          <w:ilvl w:val="0"/>
          <w:numId w:val="3"/>
        </w:numPr>
        <w:jc w:val="both"/>
        <w:rPr>
          <w:rFonts w:ascii="Garamond" w:eastAsia="Calibri" w:hAnsi="Garamond" w:cs="Times New Roman"/>
          <w:sz w:val="24"/>
          <w:szCs w:val="24"/>
        </w:rPr>
      </w:pPr>
      <w:r w:rsidRPr="00B1737C">
        <w:rPr>
          <w:rFonts w:ascii="Garamond" w:eastAsia="Calibri" w:hAnsi="Garamond" w:cs="Times New Roman"/>
          <w:sz w:val="24"/>
          <w:szCs w:val="24"/>
        </w:rPr>
        <w:t xml:space="preserve">Respecto a la asociación ilícita, </w:t>
      </w:r>
      <w:r w:rsidR="00B1737C" w:rsidRPr="00B1737C">
        <w:rPr>
          <w:rFonts w:ascii="Garamond" w:eastAsia="Calibri" w:hAnsi="Garamond" w:cs="Times New Roman"/>
          <w:sz w:val="24"/>
          <w:szCs w:val="24"/>
        </w:rPr>
        <w:t>más</w:t>
      </w:r>
      <w:r w:rsidRPr="00B1737C">
        <w:rPr>
          <w:rFonts w:ascii="Garamond" w:eastAsia="Calibri" w:hAnsi="Garamond" w:cs="Times New Roman"/>
          <w:sz w:val="24"/>
          <w:szCs w:val="24"/>
        </w:rPr>
        <w:t xml:space="preserve"> allá de los elementos de configuración complejos que se contemplan </w:t>
      </w:r>
      <w:r w:rsidR="00B1737C" w:rsidRPr="00B1737C">
        <w:rPr>
          <w:rFonts w:ascii="Garamond" w:eastAsia="Calibri" w:hAnsi="Garamond" w:cs="Times New Roman"/>
          <w:sz w:val="24"/>
          <w:szCs w:val="24"/>
        </w:rPr>
        <w:t>(como</w:t>
      </w:r>
      <w:r w:rsidRPr="00B1737C">
        <w:rPr>
          <w:rFonts w:ascii="Garamond" w:eastAsia="Calibri" w:hAnsi="Garamond" w:cs="Times New Roman"/>
          <w:sz w:val="24"/>
          <w:szCs w:val="24"/>
        </w:rPr>
        <w:t xml:space="preserve"> por ejemplo la capacidad de planificación) se sugiere analizar la conveniencia de no crear una nueva figura especial, sino remitirse a las reglas generales y utilizar el modelo que actualmente existe en el Código Penal </w:t>
      </w:r>
      <w:r w:rsidR="00663A41" w:rsidRPr="00B1737C">
        <w:rPr>
          <w:rFonts w:ascii="Garamond" w:eastAsia="Calibri" w:hAnsi="Garamond" w:cs="Times New Roman"/>
          <w:sz w:val="24"/>
          <w:szCs w:val="24"/>
        </w:rPr>
        <w:t>(Art</w:t>
      </w:r>
      <w:r w:rsidRPr="00B1737C">
        <w:rPr>
          <w:rFonts w:ascii="Garamond" w:eastAsia="Calibri" w:hAnsi="Garamond" w:cs="Times New Roman"/>
          <w:sz w:val="24"/>
          <w:szCs w:val="24"/>
        </w:rPr>
        <w:t xml:space="preserve"> 292 y siguientes)</w:t>
      </w:r>
    </w:p>
    <w:p w14:paraId="79C7EB72" w14:textId="77777777" w:rsidR="00B1737C" w:rsidRPr="00B1737C" w:rsidRDefault="00B1737C" w:rsidP="001350CF">
      <w:pPr>
        <w:pStyle w:val="Prrafodelista"/>
        <w:jc w:val="both"/>
        <w:rPr>
          <w:rFonts w:ascii="Garamond" w:eastAsia="Calibri" w:hAnsi="Garamond" w:cs="Times New Roman"/>
          <w:sz w:val="24"/>
          <w:szCs w:val="24"/>
        </w:rPr>
      </w:pPr>
    </w:p>
    <w:p w14:paraId="05A06662" w14:textId="77777777" w:rsidR="00735B12" w:rsidRDefault="00735B12" w:rsidP="001350CF">
      <w:pPr>
        <w:pStyle w:val="Prrafodelista"/>
        <w:numPr>
          <w:ilvl w:val="0"/>
          <w:numId w:val="3"/>
        </w:numPr>
        <w:jc w:val="both"/>
        <w:rPr>
          <w:rFonts w:ascii="Garamond" w:eastAsia="Calibri" w:hAnsi="Garamond" w:cs="Times New Roman"/>
          <w:sz w:val="24"/>
          <w:szCs w:val="24"/>
        </w:rPr>
      </w:pPr>
      <w:r w:rsidRPr="00B1737C">
        <w:rPr>
          <w:rFonts w:ascii="Garamond" w:eastAsia="Calibri" w:hAnsi="Garamond" w:cs="Times New Roman"/>
          <w:sz w:val="24"/>
          <w:szCs w:val="24"/>
        </w:rPr>
        <w:t>Proporcionalidad de las penas, en relación con el grado de afectación de los bienes jurídicos protegidos.</w:t>
      </w:r>
      <w:r w:rsidR="00B1737C">
        <w:rPr>
          <w:rFonts w:ascii="Garamond" w:eastAsia="Calibri" w:hAnsi="Garamond" w:cs="Times New Roman"/>
          <w:sz w:val="24"/>
          <w:szCs w:val="24"/>
        </w:rPr>
        <w:t xml:space="preserve"> Hay conductas sancionadas hasta con </w:t>
      </w:r>
      <w:r w:rsidR="00B1737C" w:rsidRPr="00B1737C">
        <w:rPr>
          <w:rFonts w:ascii="Garamond" w:eastAsia="Calibri" w:hAnsi="Garamond" w:cs="Times New Roman"/>
          <w:sz w:val="24"/>
          <w:szCs w:val="24"/>
        </w:rPr>
        <w:t>5 años y un día a 10 años</w:t>
      </w:r>
      <w:r w:rsidR="00B1737C">
        <w:rPr>
          <w:rFonts w:ascii="Garamond" w:eastAsia="Calibri" w:hAnsi="Garamond" w:cs="Times New Roman"/>
          <w:sz w:val="24"/>
          <w:szCs w:val="24"/>
        </w:rPr>
        <w:t xml:space="preserve">, </w:t>
      </w:r>
      <w:r w:rsidR="001350CF">
        <w:rPr>
          <w:rFonts w:ascii="Garamond" w:eastAsia="Calibri" w:hAnsi="Garamond" w:cs="Times New Roman"/>
          <w:sz w:val="24"/>
          <w:szCs w:val="24"/>
        </w:rPr>
        <w:t>como,</w:t>
      </w:r>
      <w:r w:rsidR="00663A41">
        <w:rPr>
          <w:rFonts w:ascii="Garamond" w:eastAsia="Calibri" w:hAnsi="Garamond" w:cs="Times New Roman"/>
          <w:sz w:val="24"/>
          <w:szCs w:val="24"/>
        </w:rPr>
        <w:t xml:space="preserve"> por ejemplo, </w:t>
      </w:r>
      <w:r w:rsidR="00663A41" w:rsidRPr="00663A41">
        <w:rPr>
          <w:rFonts w:ascii="Garamond" w:eastAsia="Calibri" w:hAnsi="Garamond" w:cs="Times New Roman"/>
          <w:sz w:val="24"/>
          <w:szCs w:val="24"/>
        </w:rPr>
        <w:t>reali</w:t>
      </w:r>
      <w:r w:rsidR="00663A41">
        <w:rPr>
          <w:rFonts w:ascii="Garamond" w:eastAsia="Calibri" w:hAnsi="Garamond" w:cs="Times New Roman"/>
          <w:sz w:val="24"/>
          <w:szCs w:val="24"/>
        </w:rPr>
        <w:t>zar</w:t>
      </w:r>
      <w:r w:rsidR="00663A41" w:rsidRPr="00663A41">
        <w:rPr>
          <w:rFonts w:ascii="Garamond" w:eastAsia="Calibri" w:hAnsi="Garamond" w:cs="Times New Roman"/>
          <w:sz w:val="24"/>
          <w:szCs w:val="24"/>
        </w:rPr>
        <w:t xml:space="preserve"> actividades extractivas, con o sin resultado de capturas, en</w:t>
      </w:r>
      <w:r w:rsidR="00663A41">
        <w:rPr>
          <w:rFonts w:ascii="Garamond" w:eastAsia="Calibri" w:hAnsi="Garamond" w:cs="Times New Roman"/>
          <w:sz w:val="24"/>
          <w:szCs w:val="24"/>
        </w:rPr>
        <w:t xml:space="preserve"> </w:t>
      </w:r>
      <w:r w:rsidR="00663A41" w:rsidRPr="00663A41">
        <w:rPr>
          <w:rFonts w:ascii="Garamond" w:eastAsia="Calibri" w:hAnsi="Garamond" w:cs="Times New Roman"/>
          <w:sz w:val="24"/>
          <w:szCs w:val="24"/>
        </w:rPr>
        <w:t xml:space="preserve">áreas de manejo y explotación de recursos bentónicos, sin ser titular de los derechos a que se refiere </w:t>
      </w:r>
      <w:r w:rsidR="001350CF">
        <w:rPr>
          <w:rFonts w:ascii="Garamond" w:eastAsia="Calibri" w:hAnsi="Garamond" w:cs="Times New Roman"/>
          <w:sz w:val="24"/>
          <w:szCs w:val="24"/>
        </w:rPr>
        <w:t>la ley</w:t>
      </w:r>
    </w:p>
    <w:p w14:paraId="75847BB7" w14:textId="77777777" w:rsidR="00B1737C" w:rsidRPr="00B1737C" w:rsidRDefault="00B1737C" w:rsidP="001350CF">
      <w:pPr>
        <w:pStyle w:val="Prrafodelista"/>
        <w:jc w:val="both"/>
        <w:rPr>
          <w:rFonts w:ascii="Garamond" w:eastAsia="Calibri" w:hAnsi="Garamond" w:cs="Times New Roman"/>
          <w:sz w:val="24"/>
          <w:szCs w:val="24"/>
        </w:rPr>
      </w:pPr>
    </w:p>
    <w:p w14:paraId="768B0B92" w14:textId="77777777" w:rsidR="00B1737C" w:rsidRPr="00B1737C" w:rsidRDefault="00B1737C" w:rsidP="001350CF">
      <w:pPr>
        <w:pStyle w:val="Prrafodelista"/>
        <w:ind w:left="1080"/>
        <w:jc w:val="both"/>
        <w:rPr>
          <w:rFonts w:ascii="Garamond" w:eastAsia="Calibri" w:hAnsi="Garamond" w:cs="Times New Roman"/>
          <w:sz w:val="24"/>
          <w:szCs w:val="24"/>
        </w:rPr>
      </w:pPr>
    </w:p>
    <w:p w14:paraId="4F47D60D" w14:textId="769EC084" w:rsidR="00735B12" w:rsidRPr="00B1737C" w:rsidRDefault="00735B12" w:rsidP="001350CF">
      <w:pPr>
        <w:pStyle w:val="Prrafodelista"/>
        <w:jc w:val="both"/>
        <w:rPr>
          <w:rFonts w:ascii="Garamond" w:eastAsia="Calibri" w:hAnsi="Garamond" w:cs="Times New Roman"/>
          <w:sz w:val="24"/>
          <w:szCs w:val="24"/>
        </w:rPr>
      </w:pPr>
    </w:p>
    <w:p w14:paraId="11EB8DDD" w14:textId="3AF364BE" w:rsidR="00735B12" w:rsidRPr="00735B12" w:rsidRDefault="00735B12" w:rsidP="001350CF">
      <w:pPr>
        <w:pStyle w:val="Prrafodelista"/>
        <w:jc w:val="both"/>
        <w:rPr>
          <w:rFonts w:ascii="Garamond" w:eastAsia="Calibri" w:hAnsi="Garamond" w:cs="Times New Roman"/>
          <w:b/>
          <w:i/>
          <w:sz w:val="24"/>
          <w:szCs w:val="24"/>
        </w:rPr>
      </w:pPr>
      <w:r w:rsidRPr="00B1737C">
        <w:rPr>
          <w:rFonts w:ascii="Garamond" w:eastAsia="Calibri" w:hAnsi="Garamond" w:cs="Times New Roman"/>
          <w:sz w:val="24"/>
          <w:szCs w:val="24"/>
        </w:rPr>
        <w:t xml:space="preserve">5) Analizar la conveniencia de alterar las reglas generales de </w:t>
      </w:r>
      <w:proofErr w:type="spellStart"/>
      <w:r w:rsidRPr="00B1737C">
        <w:rPr>
          <w:rFonts w:ascii="Garamond" w:eastAsia="Calibri" w:hAnsi="Garamond" w:cs="Times New Roman"/>
          <w:sz w:val="24"/>
          <w:szCs w:val="24"/>
        </w:rPr>
        <w:t>iter</w:t>
      </w:r>
      <w:proofErr w:type="spellEnd"/>
      <w:r w:rsidRPr="00B1737C">
        <w:rPr>
          <w:rFonts w:ascii="Garamond" w:eastAsia="Calibri" w:hAnsi="Garamond" w:cs="Times New Roman"/>
          <w:sz w:val="24"/>
          <w:szCs w:val="24"/>
        </w:rPr>
        <w:t xml:space="preserve"> </w:t>
      </w:r>
      <w:proofErr w:type="spellStart"/>
      <w:r w:rsidRPr="00B1737C">
        <w:rPr>
          <w:rFonts w:ascii="Garamond" w:eastAsia="Calibri" w:hAnsi="Garamond" w:cs="Times New Roman"/>
          <w:sz w:val="24"/>
          <w:szCs w:val="24"/>
        </w:rPr>
        <w:t>criminis</w:t>
      </w:r>
      <w:proofErr w:type="spellEnd"/>
      <w:r w:rsidRPr="00B1737C">
        <w:rPr>
          <w:rFonts w:ascii="Garamond" w:eastAsia="Calibri" w:hAnsi="Garamond" w:cs="Times New Roman"/>
          <w:sz w:val="24"/>
          <w:szCs w:val="24"/>
        </w:rPr>
        <w:t xml:space="preserve"> y su calificación </w:t>
      </w:r>
      <w:r w:rsidR="00593107">
        <w:rPr>
          <w:rFonts w:ascii="Garamond" w:eastAsia="Calibri" w:hAnsi="Garamond" w:cs="Times New Roman"/>
          <w:sz w:val="24"/>
          <w:szCs w:val="24"/>
        </w:rPr>
        <w:t>(conductas que al estar en grado de tentadas</w:t>
      </w:r>
      <w:bookmarkStart w:id="0" w:name="_GoBack"/>
      <w:bookmarkEnd w:id="0"/>
      <w:r w:rsidR="00593107">
        <w:rPr>
          <w:rFonts w:ascii="Garamond" w:eastAsia="Calibri" w:hAnsi="Garamond" w:cs="Times New Roman"/>
          <w:sz w:val="24"/>
          <w:szCs w:val="24"/>
        </w:rPr>
        <w:t xml:space="preserve"> se castigan como consumadas)</w:t>
      </w:r>
    </w:p>
    <w:p w14:paraId="14AE024C" w14:textId="77777777" w:rsidR="004A6117" w:rsidRPr="004A6117" w:rsidRDefault="004A6117" w:rsidP="004A6117">
      <w:pPr>
        <w:ind w:left="360"/>
        <w:jc w:val="both"/>
        <w:rPr>
          <w:rFonts w:ascii="Garamond" w:eastAsia="Calibri" w:hAnsi="Garamond" w:cs="Times New Roman"/>
          <w:sz w:val="24"/>
          <w:szCs w:val="24"/>
        </w:rPr>
      </w:pPr>
    </w:p>
    <w:p w14:paraId="729ADB1F" w14:textId="77777777" w:rsidR="00C25ED3" w:rsidRPr="00C25ED3" w:rsidRDefault="00C25ED3" w:rsidP="00C25ED3">
      <w:pPr>
        <w:jc w:val="both"/>
        <w:rPr>
          <w:rFonts w:ascii="Garamond" w:eastAsia="Calibri" w:hAnsi="Garamond" w:cs="Times New Roman"/>
          <w:sz w:val="24"/>
          <w:szCs w:val="24"/>
        </w:rPr>
      </w:pPr>
    </w:p>
    <w:p w14:paraId="39D53956" w14:textId="77777777" w:rsidR="00BA370F" w:rsidRPr="00C25ED3" w:rsidRDefault="00BA370F" w:rsidP="00CE6C99">
      <w:pPr>
        <w:jc w:val="both"/>
      </w:pPr>
    </w:p>
    <w:sectPr w:rsidR="00BA370F" w:rsidRPr="00C25E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735D"/>
    <w:multiLevelType w:val="hybridMultilevel"/>
    <w:tmpl w:val="92206308"/>
    <w:lvl w:ilvl="0" w:tplc="E48426E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27117235"/>
    <w:multiLevelType w:val="hybridMultilevel"/>
    <w:tmpl w:val="9B28EF5C"/>
    <w:lvl w:ilvl="0" w:tplc="3E0EF746">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ECF4415"/>
    <w:multiLevelType w:val="hybridMultilevel"/>
    <w:tmpl w:val="64DCABE8"/>
    <w:lvl w:ilvl="0" w:tplc="4F12D24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38"/>
    <w:rsid w:val="0012673C"/>
    <w:rsid w:val="001350CF"/>
    <w:rsid w:val="00242DA2"/>
    <w:rsid w:val="00307F2B"/>
    <w:rsid w:val="004A6117"/>
    <w:rsid w:val="00524F60"/>
    <w:rsid w:val="00593107"/>
    <w:rsid w:val="00663A41"/>
    <w:rsid w:val="006A3414"/>
    <w:rsid w:val="00735B12"/>
    <w:rsid w:val="00764DB7"/>
    <w:rsid w:val="009F4D38"/>
    <w:rsid w:val="00A926B8"/>
    <w:rsid w:val="00B1737C"/>
    <w:rsid w:val="00BA370F"/>
    <w:rsid w:val="00C25ED3"/>
    <w:rsid w:val="00C45E22"/>
    <w:rsid w:val="00CE6C99"/>
    <w:rsid w:val="00FA7ADD"/>
    <w:rsid w:val="00FF2AF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717D"/>
  <w15:chartTrackingRefBased/>
  <w15:docId w15:val="{2FEFB992-56B6-4CC5-9354-81CE0853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4D38"/>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4D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24850">
      <w:bodyDiv w:val="1"/>
      <w:marLeft w:val="0"/>
      <w:marRight w:val="0"/>
      <w:marTop w:val="0"/>
      <w:marBottom w:val="0"/>
      <w:divBdr>
        <w:top w:val="none" w:sz="0" w:space="0" w:color="auto"/>
        <w:left w:val="none" w:sz="0" w:space="0" w:color="auto"/>
        <w:bottom w:val="none" w:sz="0" w:space="0" w:color="auto"/>
        <w:right w:val="none" w:sz="0" w:space="0" w:color="auto"/>
      </w:divBdr>
      <w:divsChild>
        <w:div w:id="1109280728">
          <w:marLeft w:val="0"/>
          <w:marRight w:val="0"/>
          <w:marTop w:val="0"/>
          <w:marBottom w:val="0"/>
          <w:divBdr>
            <w:top w:val="none" w:sz="0" w:space="0" w:color="auto"/>
            <w:left w:val="none" w:sz="0" w:space="0" w:color="auto"/>
            <w:bottom w:val="none" w:sz="0" w:space="0" w:color="auto"/>
            <w:right w:val="none" w:sz="0" w:space="0" w:color="auto"/>
          </w:divBdr>
        </w:div>
        <w:div w:id="1450005363">
          <w:marLeft w:val="0"/>
          <w:marRight w:val="0"/>
          <w:marTop w:val="0"/>
          <w:marBottom w:val="0"/>
          <w:divBdr>
            <w:top w:val="none" w:sz="0" w:space="0" w:color="auto"/>
            <w:left w:val="none" w:sz="0" w:space="0" w:color="auto"/>
            <w:bottom w:val="none" w:sz="0" w:space="0" w:color="auto"/>
            <w:right w:val="none" w:sz="0" w:space="0" w:color="auto"/>
          </w:divBdr>
        </w:div>
        <w:div w:id="362290638">
          <w:marLeft w:val="0"/>
          <w:marRight w:val="0"/>
          <w:marTop w:val="0"/>
          <w:marBottom w:val="0"/>
          <w:divBdr>
            <w:top w:val="none" w:sz="0" w:space="0" w:color="auto"/>
            <w:left w:val="none" w:sz="0" w:space="0" w:color="auto"/>
            <w:bottom w:val="none" w:sz="0" w:space="0" w:color="auto"/>
            <w:right w:val="none" w:sz="0" w:space="0" w:color="auto"/>
          </w:divBdr>
        </w:div>
        <w:div w:id="2091927657">
          <w:marLeft w:val="0"/>
          <w:marRight w:val="0"/>
          <w:marTop w:val="0"/>
          <w:marBottom w:val="0"/>
          <w:divBdr>
            <w:top w:val="none" w:sz="0" w:space="0" w:color="auto"/>
            <w:left w:val="none" w:sz="0" w:space="0" w:color="auto"/>
            <w:bottom w:val="none" w:sz="0" w:space="0" w:color="auto"/>
            <w:right w:val="none" w:sz="0" w:space="0" w:color="auto"/>
          </w:divBdr>
        </w:div>
        <w:div w:id="210116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1290</Words>
  <Characters>6800</Characters>
  <Application>Microsoft Office Word</Application>
  <DocSecurity>0</DocSecurity>
  <Lines>101</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Wildner</dc:creator>
  <cp:keywords/>
  <dc:description/>
  <cp:lastModifiedBy>Catalina Wildner</cp:lastModifiedBy>
  <cp:revision>2</cp:revision>
  <dcterms:created xsi:type="dcterms:W3CDTF">2018-01-09T18:58:00Z</dcterms:created>
  <dcterms:modified xsi:type="dcterms:W3CDTF">2018-01-09T23:01:00Z</dcterms:modified>
</cp:coreProperties>
</file>