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0C11A" w14:textId="5FA90D28" w:rsidR="0054286D" w:rsidRDefault="00660401" w:rsidP="00660401">
      <w:pPr>
        <w:pStyle w:val="Ttulo"/>
        <w:rPr>
          <w:b/>
          <w:sz w:val="40"/>
          <w:szCs w:val="40"/>
        </w:rPr>
      </w:pPr>
      <w:bookmarkStart w:id="0" w:name="_GoBack"/>
      <w:bookmarkEnd w:id="0"/>
      <w:r w:rsidRPr="00660401">
        <w:rPr>
          <w:b/>
          <w:sz w:val="40"/>
          <w:szCs w:val="40"/>
        </w:rPr>
        <w:t xml:space="preserve">Agenda legislativa </w:t>
      </w:r>
      <w:r w:rsidR="0078022A">
        <w:rPr>
          <w:b/>
          <w:sz w:val="40"/>
          <w:szCs w:val="40"/>
        </w:rPr>
        <w:t xml:space="preserve">, legitimidad </w:t>
      </w:r>
      <w:r w:rsidRPr="00660401">
        <w:rPr>
          <w:b/>
          <w:sz w:val="40"/>
          <w:szCs w:val="40"/>
        </w:rPr>
        <w:t>y opinión pública</w:t>
      </w:r>
      <w:r w:rsidR="0078022A">
        <w:rPr>
          <w:b/>
          <w:sz w:val="40"/>
          <w:szCs w:val="40"/>
        </w:rPr>
        <w:t xml:space="preserve"> </w:t>
      </w:r>
    </w:p>
    <w:p w14:paraId="56681681" w14:textId="77777777" w:rsidR="008655BC" w:rsidRDefault="008655BC" w:rsidP="008655BC">
      <w:pPr>
        <w:jc w:val="both"/>
      </w:pPr>
    </w:p>
    <w:p w14:paraId="586CE303" w14:textId="61CEA071" w:rsidR="00660401" w:rsidRDefault="00EE0E67" w:rsidP="008655BC">
      <w:pPr>
        <w:jc w:val="both"/>
      </w:pPr>
      <w:r>
        <w:t>La agenda legislativa de cierre del Gobierno</w:t>
      </w:r>
      <w:r w:rsidR="000F4461">
        <w:t>, con sus proyectos priorizados,</w:t>
      </w:r>
      <w:r>
        <w:t xml:space="preserve"> tiene diferentes niveles de aprobación en la opinión pública. En algunos casos apreciamos movimientos de larga duración de la opiniòn pública, con tendencias y juicios de opinion consolidados en una lenta evolucion como es el caso de la “ agenda valórica”. En otros la formacion de opinión dice relacion con la efectividad de las polìticas públicas como el caso del mayor apoyo a la gratuidad.</w:t>
      </w:r>
    </w:p>
    <w:p w14:paraId="3BF23856" w14:textId="77777777" w:rsidR="008655BC" w:rsidRDefault="008655BC" w:rsidP="008655BC">
      <w:pPr>
        <w:jc w:val="both"/>
      </w:pPr>
    </w:p>
    <w:p w14:paraId="61A605BA" w14:textId="59978ACB" w:rsidR="00EE0E67" w:rsidRDefault="00EE0E67" w:rsidP="008655BC">
      <w:pPr>
        <w:jc w:val="both"/>
      </w:pPr>
      <w:r>
        <w:t>La legitimidad de las políticas públicas, y proyectos de ley dice relación con al grado de adhesión y apoyo en la opinión pública, que es un factor a tener en consideracion en el trabajo legislativo, especialmente en un contexto de desconfianza ciudadana con las instituciones polìticas y de divorcio entre la clase politica y la ciudadanía. La sintonización del trabajo legislativo con el juicio estructurado de opinión pública es clave para el fortalecimiento de la legitimidad democrática.</w:t>
      </w:r>
    </w:p>
    <w:p w14:paraId="723435D7" w14:textId="77777777" w:rsidR="008655BC" w:rsidRDefault="008655BC" w:rsidP="008655BC">
      <w:pPr>
        <w:jc w:val="both"/>
      </w:pPr>
    </w:p>
    <w:p w14:paraId="57D9CCED" w14:textId="54303B09" w:rsidR="00EE0E67" w:rsidRDefault="00EE0E67" w:rsidP="008655BC">
      <w:pPr>
        <w:jc w:val="both"/>
      </w:pPr>
      <w:r>
        <w:t xml:space="preserve">El análisis </w:t>
      </w:r>
      <w:r w:rsidR="008655BC">
        <w:t xml:space="preserve">de opinión pública esta enfocado en </w:t>
      </w:r>
      <w:r w:rsidR="000F4461">
        <w:t xml:space="preserve">algunos de </w:t>
      </w:r>
      <w:r w:rsidR="008655BC">
        <w:t xml:space="preserve">los proyectos priorizados por el Gobierno </w:t>
      </w:r>
      <w:r w:rsidR="00911CA5">
        <w:t>, que han sido medid</w:t>
      </w:r>
      <w:r w:rsidR="000F4461">
        <w:t>os por encuestas y</w:t>
      </w:r>
      <w:r w:rsidR="008655BC">
        <w:t xml:space="preserve"> están en trámite legislativo en los 6 meses restantes de gestión hasta Marzo del 2018.</w:t>
      </w:r>
    </w:p>
    <w:p w14:paraId="2B56F502" w14:textId="77777777" w:rsidR="008655BC" w:rsidRDefault="008655BC" w:rsidP="008655BC">
      <w:pPr>
        <w:jc w:val="both"/>
      </w:pPr>
    </w:p>
    <w:p w14:paraId="420205EC" w14:textId="0BD59A3D" w:rsidR="008655BC" w:rsidRDefault="00D47281" w:rsidP="008655BC">
      <w:pPr>
        <w:jc w:val="both"/>
        <w:rPr>
          <w:b/>
        </w:rPr>
      </w:pPr>
      <w:r>
        <w:rPr>
          <w:b/>
        </w:rPr>
        <w:t xml:space="preserve">1.- </w:t>
      </w:r>
      <w:r w:rsidR="008655BC" w:rsidRPr="008655BC">
        <w:rPr>
          <w:b/>
        </w:rPr>
        <w:t>Proyecto de reforma de educación superior y gratuidad universal.</w:t>
      </w:r>
    </w:p>
    <w:p w14:paraId="14883667" w14:textId="77777777" w:rsidR="008655BC" w:rsidRDefault="008655BC" w:rsidP="008655BC">
      <w:pPr>
        <w:jc w:val="both"/>
        <w:rPr>
          <w:b/>
        </w:rPr>
      </w:pPr>
    </w:p>
    <w:p w14:paraId="489BB967" w14:textId="2C9E35E3" w:rsidR="008655BC" w:rsidRDefault="008655BC" w:rsidP="008655BC">
      <w:pPr>
        <w:jc w:val="both"/>
      </w:pPr>
      <w:r>
        <w:t>Este es uno de los tres proyectos de la reforma educacional que están en trámite en el Congreso y que el Gobierno ha priorizado para su aprobación en estos seis meses.</w:t>
      </w:r>
    </w:p>
    <w:p w14:paraId="17E66417" w14:textId="32C35DB9" w:rsidR="008655BC" w:rsidRDefault="008655BC" w:rsidP="008655BC">
      <w:pPr>
        <w:jc w:val="both"/>
      </w:pPr>
    </w:p>
    <w:p w14:paraId="7F343ADA" w14:textId="293871AE" w:rsidR="008655BC" w:rsidRDefault="008655BC" w:rsidP="008655BC">
      <w:pPr>
        <w:jc w:val="both"/>
      </w:pPr>
      <w:r w:rsidRPr="000F4461">
        <w:rPr>
          <w:b/>
        </w:rPr>
        <w:t>El apoyo a la gratuidad universitaria es mayoritario con un 97% del total</w:t>
      </w:r>
      <w:r w:rsidR="000F4461">
        <w:rPr>
          <w:b/>
        </w:rPr>
        <w:t>, practicamente todo el pais apoya</w:t>
      </w:r>
      <w:r>
        <w:t xml:space="preserve">: </w:t>
      </w:r>
      <w:r w:rsidR="000F4461">
        <w:rPr>
          <w:b/>
        </w:rPr>
        <w:t>solo</w:t>
      </w:r>
      <w:r w:rsidRPr="000F4461">
        <w:rPr>
          <w:b/>
        </w:rPr>
        <w:t xml:space="preserve"> un 2% opina que las universidades no deben ser gratuitas</w:t>
      </w:r>
      <w:r>
        <w:t>.</w:t>
      </w:r>
      <w:r w:rsidR="000F4461">
        <w:t xml:space="preserve"> (</w:t>
      </w:r>
      <w:r w:rsidR="000F4461">
        <w:rPr>
          <w:i/>
          <w:sz w:val="22"/>
          <w:szCs w:val="22"/>
        </w:rPr>
        <w:t xml:space="preserve">CepChile/08/17). </w:t>
      </w:r>
      <w:r>
        <w:t xml:space="preserve">En este total de apoyo a la gratuidad en las universidades se diferencian dos corrientes de opinion : el </w:t>
      </w:r>
      <w:r w:rsidR="000F79BA">
        <w:t>46 % apoya</w:t>
      </w:r>
      <w:r>
        <w:t xml:space="preserve"> a que las universidades debieran ser gratuitas para todos los estudiantes</w:t>
      </w:r>
      <w:r w:rsidR="000F79BA">
        <w:t xml:space="preserve"> </w:t>
      </w:r>
      <w:r>
        <w:t xml:space="preserve"> y el</w:t>
      </w:r>
      <w:r w:rsidR="000F79BA">
        <w:t xml:space="preserve"> </w:t>
      </w:r>
      <w:r>
        <w:t xml:space="preserve"> </w:t>
      </w:r>
      <w:r w:rsidR="000F79BA">
        <w:t xml:space="preserve">51%  apoya </w:t>
      </w:r>
      <w:r>
        <w:t>que debieran ser gratuitas solamente para los estudiantes de menos recursos.</w:t>
      </w:r>
    </w:p>
    <w:p w14:paraId="56085209" w14:textId="77777777" w:rsidR="000F79BA" w:rsidRPr="008655BC" w:rsidRDefault="000F79BA" w:rsidP="008655BC">
      <w:pPr>
        <w:jc w:val="both"/>
      </w:pPr>
    </w:p>
    <w:p w14:paraId="3788877E" w14:textId="474F476E" w:rsidR="00EE0E67" w:rsidRDefault="000F79BA" w:rsidP="000F79BA">
      <w:pPr>
        <w:jc w:val="both"/>
      </w:pPr>
      <w:r w:rsidRPr="000F4461">
        <w:rPr>
          <w:b/>
        </w:rPr>
        <w:t>La tendencia muestra un avance sostenido en la opinión pública de apoyo a la gratuidad universal y una disminución del apoyo a la gratuidad focalizada</w:t>
      </w:r>
      <w:r>
        <w:t xml:space="preserve"> en los sectores mas vulnerables: en los años : el apoyo a la gratuidad universal desde el 2014 ha subido en 8 puntos, desde un 38% a un 46% mientras que el apoyo a la gratuidad universitaria focalizada en los estudiantes de menos ingresos ha bajado de un 57% a un 51% el 2017. </w:t>
      </w:r>
    </w:p>
    <w:p w14:paraId="4714B4AF" w14:textId="77777777" w:rsidR="000F79BA" w:rsidRDefault="000F79BA" w:rsidP="000F79BA">
      <w:pPr>
        <w:jc w:val="both"/>
      </w:pPr>
    </w:p>
    <w:p w14:paraId="450B7BC8" w14:textId="3A963F8A" w:rsidR="000F79BA" w:rsidRDefault="000F79BA" w:rsidP="000F79BA">
      <w:pPr>
        <w:jc w:val="both"/>
      </w:pPr>
      <w:r>
        <w:t xml:space="preserve">Esta tendencia permite señalar que la reforma educacional del Gobierno , especialmente la gratuidad universal, en sus inicios tuvo menos sustento de opinión pública del considerado en el discurso oficial. Y lo segundo, es que el avance gradual de la gratuidad universitaria hasta el 5 decil en este Gobierno ha ido permeando la opinión pública que está evolucionando a un apoyo creciente a la gratuidad universal. </w:t>
      </w:r>
      <w:r>
        <w:lastRenderedPageBreak/>
        <w:t xml:space="preserve">Es decir el discurso del derecho a la educacion, reflejado en la validacion de la gratuidad universitaria con un empate entre gratuidad universal y focalizada, permite señalar que un diseño legislativo de contrareforma educacional de un gobierno de Chile Vamos sería contracultural, actuando en un sentido opuesto al juicio de opinion que se ha formado en el país. </w:t>
      </w:r>
    </w:p>
    <w:p w14:paraId="0BC2AC51" w14:textId="00646FDA" w:rsidR="00EE0E67" w:rsidRDefault="000F79BA" w:rsidP="000F79BA">
      <w:pPr>
        <w:jc w:val="both"/>
      </w:pPr>
      <w:r>
        <w:t xml:space="preserve"> </w:t>
      </w:r>
    </w:p>
    <w:p w14:paraId="4659541A" w14:textId="792DCA24" w:rsidR="00EE0E67" w:rsidRPr="000F79BA" w:rsidRDefault="000F79BA" w:rsidP="00660401">
      <w:pPr>
        <w:rPr>
          <w:b/>
        </w:rPr>
      </w:pPr>
      <w:r w:rsidRPr="000F79BA">
        <w:rPr>
          <w:b/>
        </w:rPr>
        <w:t>Grafico 1 : gratuidad universal y gratuidad focalizada</w:t>
      </w:r>
    </w:p>
    <w:p w14:paraId="28239C3E" w14:textId="77777777" w:rsidR="000F79BA" w:rsidRDefault="000F79BA" w:rsidP="00660401"/>
    <w:p w14:paraId="644DCECB" w14:textId="77777777" w:rsidR="00660401" w:rsidRDefault="00660401" w:rsidP="00660401">
      <w:r>
        <w:rPr>
          <w:noProof/>
          <w:lang w:val="es-ES"/>
        </w:rPr>
        <w:drawing>
          <wp:inline distT="0" distB="0" distL="0" distR="0" wp14:anchorId="6CEAC77E" wp14:editId="05F416E0">
            <wp:extent cx="5596890" cy="2297853"/>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8032062" w14:textId="4C860108" w:rsidR="00660401" w:rsidRPr="008655BC" w:rsidRDefault="008655BC" w:rsidP="00660401">
      <w:pPr>
        <w:rPr>
          <w:i/>
          <w:sz w:val="18"/>
          <w:szCs w:val="18"/>
        </w:rPr>
      </w:pPr>
      <w:r w:rsidRPr="008655BC">
        <w:rPr>
          <w:i/>
          <w:sz w:val="18"/>
          <w:szCs w:val="18"/>
        </w:rPr>
        <w:t>Elaborado en base a Cep Julio/Agosto 2017</w:t>
      </w:r>
    </w:p>
    <w:p w14:paraId="10276CA7" w14:textId="77777777" w:rsidR="00660401" w:rsidRDefault="00660401" w:rsidP="00660401"/>
    <w:p w14:paraId="756DD82E" w14:textId="1C8AD04F" w:rsidR="000F4461" w:rsidRDefault="00D47281" w:rsidP="00660401">
      <w:pPr>
        <w:rPr>
          <w:b/>
        </w:rPr>
      </w:pPr>
      <w:r>
        <w:rPr>
          <w:b/>
        </w:rPr>
        <w:t xml:space="preserve">2.- </w:t>
      </w:r>
      <w:r w:rsidR="000F4461" w:rsidRPr="000F4461">
        <w:rPr>
          <w:b/>
        </w:rPr>
        <w:t>Opinión pública y aborto terapéutico.</w:t>
      </w:r>
    </w:p>
    <w:p w14:paraId="72700010" w14:textId="77777777" w:rsidR="000F4461" w:rsidRDefault="000F4461" w:rsidP="00660401">
      <w:pPr>
        <w:rPr>
          <w:b/>
        </w:rPr>
      </w:pPr>
    </w:p>
    <w:p w14:paraId="72CE0EED" w14:textId="10BF6387" w:rsidR="000F4461" w:rsidRPr="00FC6862" w:rsidRDefault="000F4461" w:rsidP="000F4461">
      <w:pPr>
        <w:jc w:val="both"/>
        <w:rPr>
          <w:b/>
          <w:i/>
        </w:rPr>
      </w:pPr>
      <w:r>
        <w:t>El proyecto de aborto terapéutico, aprobado por el Congreso y ratificado por el Tribunal Constitucional en fase de promulgación final de la ley, tiene un apoyo mayoritario de la opinión pública. La opinión pública en torno a aborto terapéutico tiene un juicio de larga duración : la aprobación promedio registrada en la década del 2005 al 2015 en encuestas de la UDP, fue de un 62.9% cuando la vida de la madre estáen peligro, 57.8% en caso de violación y 54.3% ante inviolabilidad del feto.</w:t>
      </w:r>
      <w:r>
        <w:rPr>
          <w:rFonts w:ascii="Times" w:hAnsi="Times"/>
        </w:rPr>
        <w:t xml:space="preserve"> (</w:t>
      </w:r>
      <w:r w:rsidRPr="00FC6862">
        <w:rPr>
          <w:rFonts w:ascii="Times" w:hAnsi="Times"/>
          <w:i/>
        </w:rPr>
        <w:t>Encuestas UDP Serie 2005/2015).</w:t>
      </w:r>
    </w:p>
    <w:p w14:paraId="4DBF4EF0" w14:textId="063C6801" w:rsidR="000F4461" w:rsidRPr="000F4461" w:rsidRDefault="000F4461" w:rsidP="00660401"/>
    <w:p w14:paraId="6402134E" w14:textId="3EAB76A5" w:rsidR="000F4461" w:rsidRDefault="000F4461" w:rsidP="00660401">
      <w:r>
        <w:t>Grafico 2 : aprobación aborto terapéutico</w:t>
      </w:r>
    </w:p>
    <w:p w14:paraId="70ED05C6" w14:textId="21EE6712" w:rsidR="00660401" w:rsidRDefault="000F4461" w:rsidP="00660401">
      <w:r w:rsidRPr="000F4461">
        <w:rPr>
          <w:noProof/>
          <w:lang w:val="es-ES"/>
        </w:rPr>
        <w:drawing>
          <wp:inline distT="0" distB="0" distL="0" distR="0" wp14:anchorId="51F4D609" wp14:editId="16269614">
            <wp:extent cx="5368502" cy="194056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00360E2" w14:textId="52F37394" w:rsidR="00660401" w:rsidRPr="000F4461" w:rsidRDefault="000F4461" w:rsidP="00660401">
      <w:pPr>
        <w:rPr>
          <w:i/>
          <w:sz w:val="20"/>
          <w:szCs w:val="20"/>
        </w:rPr>
      </w:pPr>
      <w:r>
        <w:rPr>
          <w:i/>
          <w:sz w:val="20"/>
          <w:szCs w:val="20"/>
        </w:rPr>
        <w:t>Elaborado en base a Cadem/07/17.</w:t>
      </w:r>
    </w:p>
    <w:p w14:paraId="2CA8A3EE" w14:textId="3AD6883C" w:rsidR="00660401" w:rsidRDefault="000F4461" w:rsidP="00DD42AC">
      <w:pPr>
        <w:jc w:val="both"/>
      </w:pPr>
      <w:r>
        <w:t>El aborto terapéu</w:t>
      </w:r>
      <w:r w:rsidR="00DD42AC">
        <w:t xml:space="preserve">tico es validado por la opinión pública, con un larg debate público en torno al tema, </w:t>
      </w:r>
      <w:r>
        <w:t>lo que puede haber influido en la decisión final del Tribunal Constitucional, para no adoptar una decisión contraria al juicio mayoritario de la opinión pública.</w:t>
      </w:r>
      <w:r w:rsidR="00DD42AC">
        <w:t xml:space="preserve"> En todo caso hay apoyo diferenciado en relacion cada una de las tres causales como registra la serie de encuestas de la UDP.</w:t>
      </w:r>
    </w:p>
    <w:p w14:paraId="17980D50" w14:textId="77777777" w:rsidR="00D47281" w:rsidRDefault="00D47281" w:rsidP="00DD42AC">
      <w:pPr>
        <w:jc w:val="both"/>
      </w:pPr>
    </w:p>
    <w:p w14:paraId="3F4368CA" w14:textId="51439794" w:rsidR="00D47281" w:rsidRPr="00D47281" w:rsidRDefault="00D47281" w:rsidP="00DD42AC">
      <w:pPr>
        <w:jc w:val="both"/>
        <w:rPr>
          <w:b/>
        </w:rPr>
      </w:pPr>
      <w:r w:rsidRPr="00D47281">
        <w:rPr>
          <w:b/>
        </w:rPr>
        <w:t>3.Opinión pública y matrimonio igualitario</w:t>
      </w:r>
    </w:p>
    <w:p w14:paraId="1817E61A" w14:textId="77777777" w:rsidR="00D47281" w:rsidRDefault="00D47281" w:rsidP="00DD42AC">
      <w:pPr>
        <w:jc w:val="both"/>
      </w:pPr>
    </w:p>
    <w:p w14:paraId="49A22AD6" w14:textId="77777777" w:rsidR="00AA6A8F" w:rsidRDefault="006401B4" w:rsidP="00DD42AC">
      <w:pPr>
        <w:jc w:val="both"/>
      </w:pPr>
      <w:r>
        <w:t>La evolución de la opinión pública en los últimos 7 años refleja un progresivo avance de la aprobación del matrimonio homosexual y una disminución del rechazo. Entre los años del 2010 y 2014, en pleno gobierno de Piñera, se produce un avance sustantivo de 12 puntos de mayor apoyo al matrimonio igualitario, pasando de un 33.8% de aprobacion , un tercio de</w:t>
      </w:r>
      <w:r w:rsidR="00AA6A8F">
        <w:t xml:space="preserve"> la opinion pública a un 45.7% .</w:t>
      </w:r>
    </w:p>
    <w:p w14:paraId="0EDFF9AE" w14:textId="6D521ED1" w:rsidR="005F6060" w:rsidRPr="00AA6A8F" w:rsidRDefault="00AA6A8F" w:rsidP="00DD42AC">
      <w:pPr>
        <w:jc w:val="both"/>
        <w:rPr>
          <w:b/>
        </w:rPr>
      </w:pPr>
      <w:r w:rsidRPr="00AA6A8F">
        <w:rPr>
          <w:b/>
        </w:rPr>
        <w:t xml:space="preserve"> </w:t>
      </w:r>
    </w:p>
    <w:p w14:paraId="417A3D7C" w14:textId="2E0300EA" w:rsidR="005F6060" w:rsidRDefault="006401B4" w:rsidP="00DD42AC">
      <w:pPr>
        <w:jc w:val="both"/>
        <w:rPr>
          <w:b/>
        </w:rPr>
      </w:pPr>
      <w:r w:rsidRPr="00AA6A8F">
        <w:rPr>
          <w:b/>
        </w:rPr>
        <w:t>Grafico 3: Apoyo matrimonio igualitario 2010-201</w:t>
      </w:r>
      <w:r w:rsidR="00AA6A8F">
        <w:rPr>
          <w:b/>
        </w:rPr>
        <w:t>4</w:t>
      </w:r>
    </w:p>
    <w:p w14:paraId="0CF855DF" w14:textId="77777777" w:rsidR="00AA6A8F" w:rsidRPr="00AA6A8F" w:rsidRDefault="00AA6A8F" w:rsidP="00DD42AC">
      <w:pPr>
        <w:jc w:val="both"/>
        <w:rPr>
          <w:b/>
        </w:rPr>
      </w:pPr>
    </w:p>
    <w:p w14:paraId="09959D82" w14:textId="7D3CED52" w:rsidR="005F6060" w:rsidRDefault="005F6060" w:rsidP="00DD42AC">
      <w:pPr>
        <w:jc w:val="both"/>
      </w:pPr>
      <w:r>
        <w:rPr>
          <w:noProof/>
          <w:lang w:val="es-ES"/>
        </w:rPr>
        <w:drawing>
          <wp:inline distT="0" distB="0" distL="0" distR="0" wp14:anchorId="25696A56" wp14:editId="3980C197">
            <wp:extent cx="5596890" cy="182880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FBA441" w14:textId="52D931AC" w:rsidR="006401B4" w:rsidRDefault="006401B4" w:rsidP="00DD42AC">
      <w:pPr>
        <w:jc w:val="both"/>
        <w:rPr>
          <w:i/>
          <w:sz w:val="22"/>
          <w:szCs w:val="22"/>
        </w:rPr>
      </w:pPr>
      <w:r>
        <w:rPr>
          <w:i/>
          <w:sz w:val="22"/>
          <w:szCs w:val="22"/>
        </w:rPr>
        <w:t>Elaborado en base a serie Encuesta UDP 2005-2015</w:t>
      </w:r>
    </w:p>
    <w:p w14:paraId="3FFA636F" w14:textId="77777777" w:rsidR="00AA6A8F" w:rsidRDefault="00AA6A8F" w:rsidP="00DD42AC">
      <w:pPr>
        <w:jc w:val="both"/>
      </w:pPr>
    </w:p>
    <w:p w14:paraId="22DC335B" w14:textId="022DBE78" w:rsidR="00AA6A8F" w:rsidRDefault="00AA6A8F" w:rsidP="00DD42AC">
      <w:pPr>
        <w:jc w:val="both"/>
      </w:pPr>
      <w:r>
        <w:t xml:space="preserve">En torno al proyecto de </w:t>
      </w:r>
      <w:r w:rsidR="00B951A9">
        <w:t>matrimonio igualitario</w:t>
      </w:r>
      <w:r>
        <w:t xml:space="preserve"> del 2017 se registra </w:t>
      </w:r>
      <w:r w:rsidR="00EB03CB">
        <w:t>un 61</w:t>
      </w:r>
      <w:r w:rsidR="00B951A9">
        <w:t xml:space="preserve">% </w:t>
      </w:r>
      <w:r w:rsidR="00EB03CB">
        <w:t>de apoyo , lo cual constituye un fuerte avance en relacion a la década pasada.</w:t>
      </w:r>
      <w:r>
        <w:t xml:space="preserve">La tendencia mayoritaria de la opinión pública está a favor de la legalización del matrimonio igualitario, en un contexto del protagonismo de movimientos sociales , como estudiantes ,ecologistas, comunidad LBTG </w:t>
      </w:r>
      <w:r w:rsidR="00EB03CB">
        <w:t xml:space="preserve">y </w:t>
      </w:r>
      <w:r>
        <w:t xml:space="preserve">un clima de </w:t>
      </w:r>
      <w:r w:rsidR="00EB03CB">
        <w:t>opinión mas liberalizante.</w:t>
      </w:r>
    </w:p>
    <w:p w14:paraId="2D48464F" w14:textId="77777777" w:rsidR="00EB03CB" w:rsidRPr="00AA6A8F" w:rsidRDefault="00EB03CB" w:rsidP="00DD42AC">
      <w:pPr>
        <w:jc w:val="both"/>
        <w:rPr>
          <w:b/>
        </w:rPr>
      </w:pPr>
    </w:p>
    <w:p w14:paraId="7A080C67" w14:textId="2C8F3531" w:rsidR="00AA6A8F" w:rsidRPr="00AA6A8F" w:rsidRDefault="00AA6A8F" w:rsidP="00DD42AC">
      <w:pPr>
        <w:jc w:val="both"/>
        <w:rPr>
          <w:b/>
        </w:rPr>
      </w:pPr>
      <w:r w:rsidRPr="00AA6A8F">
        <w:rPr>
          <w:b/>
        </w:rPr>
        <w:t xml:space="preserve">Grafico 4 </w:t>
      </w:r>
      <w:r>
        <w:rPr>
          <w:b/>
        </w:rPr>
        <w:t xml:space="preserve">  A</w:t>
      </w:r>
      <w:r w:rsidRPr="00AA6A8F">
        <w:rPr>
          <w:b/>
        </w:rPr>
        <w:t>poyo matrimonio igualitario 2017</w:t>
      </w:r>
    </w:p>
    <w:p w14:paraId="6CFAED82" w14:textId="77777777" w:rsidR="00EB03CB" w:rsidRDefault="005E23BF" w:rsidP="00660401">
      <w:r>
        <w:rPr>
          <w:noProof/>
          <w:lang w:val="es-ES"/>
        </w:rPr>
        <w:drawing>
          <wp:inline distT="0" distB="0" distL="0" distR="0" wp14:anchorId="38519134" wp14:editId="60301108">
            <wp:extent cx="5253990" cy="1704552"/>
            <wp:effectExtent l="0" t="0" r="29210" b="2286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305D83" w14:textId="2FF0BD63" w:rsidR="00EE00D5" w:rsidRDefault="00AA6A8F" w:rsidP="00EB03CB">
      <w:r>
        <w:rPr>
          <w:i/>
          <w:sz w:val="20"/>
          <w:szCs w:val="20"/>
        </w:rPr>
        <w:t xml:space="preserve">Cadem </w:t>
      </w:r>
      <w:r w:rsidR="00EE00D5">
        <w:rPr>
          <w:i/>
          <w:sz w:val="20"/>
          <w:szCs w:val="20"/>
        </w:rPr>
        <w:t xml:space="preserve">Julio </w:t>
      </w:r>
      <w:r>
        <w:rPr>
          <w:i/>
          <w:sz w:val="20"/>
          <w:szCs w:val="20"/>
        </w:rPr>
        <w:t>2017</w:t>
      </w:r>
    </w:p>
    <w:p w14:paraId="486CAA7F" w14:textId="1A36C6C7" w:rsidR="00D47281" w:rsidRDefault="00AA6A8F" w:rsidP="00EB03CB">
      <w:pPr>
        <w:jc w:val="both"/>
      </w:pPr>
      <w:r>
        <w:t>En el marco del proyecto de matrimonio igualitario, el apoyo a la adopción  de hijos del matrimonio homosexual está en un nivel inferior a la acepta</w:t>
      </w:r>
      <w:r w:rsidR="00A57F5B">
        <w:t>ción del matrimonio igualitario : el promedio entre 2010 -2014 de la serie de encuestas UDP es un de un 30.% de acuerdo con la adopción de hijos por el matrimonio de parejas homosexuales o lesbianas ( con mayor apoyo a las parejas de lesbianas, 36.5%).</w:t>
      </w:r>
      <w:r w:rsidR="00EB03CB">
        <w:t xml:space="preserve"> </w:t>
      </w:r>
      <w:r w:rsidR="00A57F5B">
        <w:t>Los estudios de opinión del presente año registran un mayor nivel de aprobación de la adopcion por hijos que llega a un 43%, pero no</w:t>
      </w:r>
      <w:r w:rsidR="00EB03CB">
        <w:t xml:space="preserve"> alcanza el nivel de aprobación </w:t>
      </w:r>
      <w:r w:rsidR="008548A3">
        <w:t>de</w:t>
      </w:r>
      <w:r w:rsidR="00A57F5B">
        <w:t xml:space="preserve"> otros proyectos. </w:t>
      </w:r>
    </w:p>
    <w:p w14:paraId="5399C7A3" w14:textId="77777777" w:rsidR="00A57F5B" w:rsidRDefault="00A57F5B" w:rsidP="00660401"/>
    <w:p w14:paraId="09CB94AD" w14:textId="5ECEA4D5" w:rsidR="00D47281" w:rsidRPr="00A57F5B" w:rsidRDefault="00A57F5B" w:rsidP="00660401">
      <w:pPr>
        <w:rPr>
          <w:b/>
        </w:rPr>
      </w:pPr>
      <w:r w:rsidRPr="00A57F5B">
        <w:rPr>
          <w:b/>
        </w:rPr>
        <w:t>Gráfico 5 :Adopción de hijos por matrimonio homosexual</w:t>
      </w:r>
    </w:p>
    <w:p w14:paraId="621364B2" w14:textId="77777777" w:rsidR="00D47281" w:rsidRDefault="00D47281" w:rsidP="00660401"/>
    <w:p w14:paraId="03819BC1" w14:textId="77777777" w:rsidR="00660401" w:rsidRDefault="00660401" w:rsidP="00660401">
      <w:r>
        <w:rPr>
          <w:noProof/>
          <w:lang w:val="es-ES"/>
        </w:rPr>
        <w:drawing>
          <wp:inline distT="0" distB="0" distL="0" distR="0" wp14:anchorId="343300AB" wp14:editId="5D2EDFF5">
            <wp:extent cx="5596890" cy="194034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40EC7E" w14:textId="3896764A" w:rsidR="00B238B6" w:rsidRPr="00A57F5B" w:rsidRDefault="00A57F5B" w:rsidP="00660401">
      <w:pPr>
        <w:rPr>
          <w:i/>
          <w:sz w:val="22"/>
          <w:szCs w:val="22"/>
        </w:rPr>
      </w:pPr>
      <w:r>
        <w:rPr>
          <w:i/>
          <w:sz w:val="22"/>
          <w:szCs w:val="22"/>
        </w:rPr>
        <w:t>Elaborado en base a Cadem 2017.</w:t>
      </w:r>
    </w:p>
    <w:p w14:paraId="7F44D8D5" w14:textId="77777777" w:rsidR="00A57F5B" w:rsidRDefault="00A57F5B" w:rsidP="00660401"/>
    <w:p w14:paraId="0F3F6F6C" w14:textId="201FCDA3" w:rsidR="00A57F5B" w:rsidRDefault="00A57F5B" w:rsidP="00660401">
      <w:pPr>
        <w:rPr>
          <w:b/>
        </w:rPr>
      </w:pPr>
      <w:r w:rsidRPr="00A57F5B">
        <w:rPr>
          <w:b/>
        </w:rPr>
        <w:t>4. Opinión pública y reforma constitucional</w:t>
      </w:r>
      <w:r>
        <w:rPr>
          <w:b/>
        </w:rPr>
        <w:t>.</w:t>
      </w:r>
    </w:p>
    <w:p w14:paraId="618AAD1B" w14:textId="77777777" w:rsidR="00A57F5B" w:rsidRDefault="00A57F5B" w:rsidP="00660401">
      <w:pPr>
        <w:rPr>
          <w:b/>
        </w:rPr>
      </w:pPr>
    </w:p>
    <w:p w14:paraId="28174EB4" w14:textId="58B0680F" w:rsidR="00EB03CB" w:rsidRDefault="00EB03CB" w:rsidP="00EB03CB">
      <w:pPr>
        <w:jc w:val="both"/>
      </w:pPr>
      <w:r>
        <w:t xml:space="preserve">La agenda legislativa del Gobierno tiene considerado ingresar el proyecto de Reforma Constitucional durante el mes de Octubre, como cumplimiento de un compromiso programático pero sin la posibilidad de una tramitación legislativa real. La opinión pública tiene un juicio formado de la necesidad de una reforma profunda a la Constitución con cambios sustantivos .A pesar del poco interés en la politica que registran las encuestas, existe un interes real en la reforma constitucional. </w:t>
      </w:r>
    </w:p>
    <w:p w14:paraId="12796A73" w14:textId="77777777" w:rsidR="008548A3" w:rsidRDefault="008548A3" w:rsidP="00EB03CB">
      <w:pPr>
        <w:jc w:val="both"/>
      </w:pPr>
    </w:p>
    <w:p w14:paraId="56F5699C" w14:textId="62161432" w:rsidR="008548A3" w:rsidRDefault="008548A3" w:rsidP="00EB03CB">
      <w:pPr>
        <w:jc w:val="both"/>
      </w:pPr>
      <w:r w:rsidRPr="008548A3">
        <w:rPr>
          <w:b/>
        </w:rPr>
        <w:t>importancia de la reforma constitucional.</w:t>
      </w:r>
      <w:r>
        <w:rPr>
          <w:b/>
        </w:rPr>
        <w:t xml:space="preserve"> </w:t>
      </w:r>
      <w:r>
        <w:t>Un argumento tradicional del debate público es que la reforma constitucional le importa poco a la ciudadanía, en relacion a sus prioridades de salud, educación, seguridad. Efectivamente en un enfoque de contraste y opciones, la ciudadania elegira mejor salud y educación, pero los estudios demuestran que es un tema que le importa mucho, no sólo por el cuestionamiento a una Constitución heredada del regimen militar, sino por la comprensión que una reforma constitucional le permite asegurar de mejor manera derechos sociales como el de la educación, proteccion al medioambiente,acceso a la cultura, laborales.</w:t>
      </w:r>
    </w:p>
    <w:p w14:paraId="69CB57D4" w14:textId="77777777" w:rsidR="008548A3" w:rsidRDefault="008548A3" w:rsidP="00EB03CB">
      <w:pPr>
        <w:jc w:val="both"/>
      </w:pPr>
    </w:p>
    <w:p w14:paraId="3DA445C9" w14:textId="001B11EF" w:rsidR="008548A3" w:rsidRDefault="008548A3" w:rsidP="00EB03CB">
      <w:pPr>
        <w:jc w:val="both"/>
      </w:pPr>
      <w:r>
        <w:t>La tendencia estructural es de una alta importancia del cambio constitucional, asentado en un 84% que le importa mucho el cambio constitucional y solo una minoría de un 7% no le asigna importancia. La crisis de legitimidad de las instituciones que estamos viviendo, tiene una base jurídico-político y comunicacional en la permanencia de una Constitución que no interpreta el juicio de opinión mayoritario del pais : el malestar con la democracia es malestar con una Constitución que no es percibida como legítima.</w:t>
      </w:r>
    </w:p>
    <w:p w14:paraId="0411BCC0" w14:textId="77777777" w:rsidR="008548A3" w:rsidRDefault="008548A3" w:rsidP="00EB03CB">
      <w:pPr>
        <w:jc w:val="both"/>
      </w:pPr>
    </w:p>
    <w:p w14:paraId="6FDF6A2D" w14:textId="407F5778" w:rsidR="00E255E0" w:rsidRPr="00E255E0" w:rsidRDefault="00E255E0" w:rsidP="00EB03CB">
      <w:pPr>
        <w:jc w:val="both"/>
        <w:rPr>
          <w:b/>
        </w:rPr>
      </w:pPr>
      <w:r w:rsidRPr="00E255E0">
        <w:rPr>
          <w:b/>
        </w:rPr>
        <w:t>Gráfico 6 : importancia de la reforma a la Constitucion</w:t>
      </w:r>
    </w:p>
    <w:p w14:paraId="13626312" w14:textId="77777777" w:rsidR="00E255E0" w:rsidRDefault="00E255E0" w:rsidP="00EB03CB">
      <w:pPr>
        <w:jc w:val="both"/>
      </w:pPr>
    </w:p>
    <w:p w14:paraId="3782CB85" w14:textId="49CEF22E" w:rsidR="008548A3" w:rsidRDefault="008548A3" w:rsidP="00EB03CB">
      <w:pPr>
        <w:jc w:val="both"/>
      </w:pPr>
      <w:r>
        <w:rPr>
          <w:noProof/>
          <w:lang w:val="es-ES"/>
        </w:rPr>
        <w:drawing>
          <wp:inline distT="0" distB="0" distL="0" distR="0" wp14:anchorId="232DA46E" wp14:editId="1363A5CF">
            <wp:extent cx="5597102" cy="1971675"/>
            <wp:effectExtent l="0" t="0" r="16510" b="349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DCAF84" w14:textId="375BD09D" w:rsidR="003107A5" w:rsidRPr="00E255E0" w:rsidRDefault="00E255E0" w:rsidP="00EB03CB">
      <w:pPr>
        <w:jc w:val="both"/>
        <w:rPr>
          <w:i/>
          <w:sz w:val="22"/>
          <w:szCs w:val="22"/>
        </w:rPr>
      </w:pPr>
      <w:r w:rsidRPr="00E255E0">
        <w:rPr>
          <w:i/>
          <w:sz w:val="22"/>
          <w:szCs w:val="22"/>
        </w:rPr>
        <w:t xml:space="preserve">Elaborado en base a </w:t>
      </w:r>
      <w:r>
        <w:rPr>
          <w:i/>
          <w:sz w:val="22"/>
          <w:szCs w:val="22"/>
        </w:rPr>
        <w:t>PNUD/</w:t>
      </w:r>
      <w:r w:rsidRPr="00E255E0">
        <w:rPr>
          <w:i/>
          <w:sz w:val="22"/>
          <w:szCs w:val="22"/>
        </w:rPr>
        <w:t>IV Encuesta Nacional</w:t>
      </w:r>
      <w:r>
        <w:rPr>
          <w:i/>
          <w:sz w:val="22"/>
          <w:szCs w:val="22"/>
        </w:rPr>
        <w:t xml:space="preserve"> “ Auditoría a la democracia”</w:t>
      </w:r>
      <w:r w:rsidRPr="00E255E0">
        <w:rPr>
          <w:i/>
          <w:sz w:val="22"/>
          <w:szCs w:val="22"/>
        </w:rPr>
        <w:t>/09/2016</w:t>
      </w:r>
    </w:p>
    <w:p w14:paraId="41BBCF83" w14:textId="77777777" w:rsidR="00EB03CB" w:rsidRDefault="00EB03CB" w:rsidP="00660401"/>
    <w:p w14:paraId="7D690426" w14:textId="533D720C" w:rsidR="00EB03CB" w:rsidRPr="00EB03CB" w:rsidRDefault="00EB03CB" w:rsidP="00E255E0">
      <w:pPr>
        <w:jc w:val="both"/>
      </w:pPr>
      <w:r>
        <w:rPr>
          <w:b/>
        </w:rPr>
        <w:t xml:space="preserve">Reformas parciales y reforma profunda. </w:t>
      </w:r>
      <w:r w:rsidR="00E255E0">
        <w:t xml:space="preserve">Otro </w:t>
      </w:r>
      <w:r>
        <w:t>elemento a tener en cuenta es que la opinión pública mayoritaria est</w:t>
      </w:r>
      <w:r w:rsidR="006F2A1D">
        <w:t xml:space="preserve">a por una reforma profunda y en contra de “ </w:t>
      </w:r>
      <w:r w:rsidR="006F2A1D" w:rsidRPr="006F2A1D">
        <w:rPr>
          <w:i/>
        </w:rPr>
        <w:t>cambios moderados” o</w:t>
      </w:r>
      <w:r w:rsidR="006F2A1D">
        <w:t xml:space="preserve"> de </w:t>
      </w:r>
      <w:r>
        <w:t>ajustes o reformas parciales como ha sido la exp</w:t>
      </w:r>
      <w:r w:rsidR="008548A3">
        <w:t>eriencia de los ultimos 27 años: el 66% apoya la idea de cambios profundos de la Constitución, que fue el compromiso contraido por Bachelet en su oferta programática al pais el 2013.</w:t>
      </w:r>
      <w:r w:rsidR="00E255E0">
        <w:t xml:space="preserve"> El juicio de “ cambios profundos” también se relaciona con la poca legitimidad de la Constitución actual, mas allá de sus múltiples reformas y enmiendas en los últimos 27 años .</w:t>
      </w:r>
    </w:p>
    <w:p w14:paraId="7F209E1C" w14:textId="77777777" w:rsidR="00A57F5B" w:rsidRPr="00A57F5B" w:rsidRDefault="00A57F5B" w:rsidP="00660401">
      <w:pPr>
        <w:rPr>
          <w:b/>
        </w:rPr>
      </w:pPr>
    </w:p>
    <w:p w14:paraId="302B3AFE" w14:textId="663CE226" w:rsidR="00F017CE" w:rsidRPr="00E255E0" w:rsidRDefault="00E255E0" w:rsidP="00660401">
      <w:pPr>
        <w:rPr>
          <w:b/>
        </w:rPr>
      </w:pPr>
      <w:r w:rsidRPr="00E255E0">
        <w:rPr>
          <w:b/>
        </w:rPr>
        <w:t>Gráfico 7 : Cambios profundos a la Constitución.</w:t>
      </w:r>
    </w:p>
    <w:p w14:paraId="590314AC" w14:textId="77777777" w:rsidR="00E255E0" w:rsidRDefault="00E255E0" w:rsidP="00660401"/>
    <w:p w14:paraId="0582FD77" w14:textId="49C3D2E5" w:rsidR="00F017CE" w:rsidRDefault="00F017CE" w:rsidP="00660401">
      <w:r>
        <w:rPr>
          <w:noProof/>
          <w:lang w:val="es-ES"/>
        </w:rPr>
        <w:drawing>
          <wp:inline distT="0" distB="0" distL="0" distR="0" wp14:anchorId="787E7148" wp14:editId="531CC9E0">
            <wp:extent cx="5596890" cy="1954107"/>
            <wp:effectExtent l="0" t="0" r="0" b="190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65D41E" w14:textId="0B281A37" w:rsidR="00EA1BD4" w:rsidRPr="00E255E0" w:rsidRDefault="00E255E0" w:rsidP="00660401">
      <w:pPr>
        <w:rPr>
          <w:i/>
          <w:sz w:val="22"/>
          <w:szCs w:val="22"/>
        </w:rPr>
      </w:pPr>
      <w:r>
        <w:rPr>
          <w:i/>
          <w:sz w:val="22"/>
          <w:szCs w:val="22"/>
        </w:rPr>
        <w:t>Elaborado en base a PNUD/IV  Encuesta Nacional/09/2016.</w:t>
      </w:r>
    </w:p>
    <w:p w14:paraId="699360A0" w14:textId="77777777" w:rsidR="00EA1BD4" w:rsidRDefault="00EA1BD4" w:rsidP="00660401"/>
    <w:p w14:paraId="033EEFC3" w14:textId="7D98D6EC" w:rsidR="00E255E0" w:rsidRPr="00E255E0" w:rsidRDefault="00E255E0" w:rsidP="00E255E0">
      <w:pPr>
        <w:jc w:val="both"/>
      </w:pPr>
      <w:r>
        <w:rPr>
          <w:b/>
        </w:rPr>
        <w:t>El mecanismo de la reforma con sello ciudadano : validación de la Asamblea Constituyente.</w:t>
      </w:r>
      <w:r>
        <w:t xml:space="preserve"> La opinión pública está por una reforma constitucional con participación activa de la ciudadana y no por una reforma a  cargo </w:t>
      </w:r>
      <w:r w:rsidR="006F2A1D">
        <w:t>de la clase política y expertos constitucionalistas.</w:t>
      </w:r>
      <w:r>
        <w:t xml:space="preserve"> La Asamblea constituyente, que significa la elecciòn de delegados ciudadanos para modificar la constitucion actual, tiene un apoyo mayoritario de un 43%. Le sigue una Convención Constituyente con participacion de </w:t>
      </w:r>
      <w:r w:rsidR="006F2A1D">
        <w:t>parlamentarios y ciudadanía con respaldo de un 41%. Y solamente un 6% está por dejar que los parlamentarios elaboren la propuesta de nueva Constitución.</w:t>
      </w:r>
      <w:r>
        <w:t xml:space="preserve"> Y en esa misma línea </w:t>
      </w:r>
      <w:r w:rsidR="006F2A1D">
        <w:t>, el 79 % señala que la ciudadaní</w:t>
      </w:r>
      <w:r>
        <w:t>a</w:t>
      </w:r>
      <w:r w:rsidR="006F2A1D">
        <w:t xml:space="preserve"> debe ser la que tome la decisión sobtre los mecanismos de la rteforma constitucional. </w:t>
      </w:r>
    </w:p>
    <w:p w14:paraId="7B1DEE71" w14:textId="77777777" w:rsidR="00E255E0" w:rsidRPr="00E255E0" w:rsidRDefault="00E255E0" w:rsidP="00660401">
      <w:pPr>
        <w:rPr>
          <w:b/>
        </w:rPr>
      </w:pPr>
    </w:p>
    <w:p w14:paraId="05F24F55" w14:textId="774D1870" w:rsidR="00EA1BD4" w:rsidRPr="006F2A1D" w:rsidRDefault="006F2A1D" w:rsidP="00660401">
      <w:pPr>
        <w:rPr>
          <w:b/>
        </w:rPr>
      </w:pPr>
      <w:r w:rsidRPr="006F2A1D">
        <w:rPr>
          <w:b/>
        </w:rPr>
        <w:t>Grafico 8:el mecanismo de la reforma constitucional con sello ciudadano</w:t>
      </w:r>
    </w:p>
    <w:p w14:paraId="5E561460" w14:textId="77777777" w:rsidR="00EA1BD4" w:rsidRDefault="00EA1BD4" w:rsidP="00660401"/>
    <w:p w14:paraId="2758A0C9" w14:textId="697FC52E" w:rsidR="00EA1BD4" w:rsidRDefault="006F2A1D" w:rsidP="00660401">
      <w:r>
        <w:rPr>
          <w:noProof/>
          <w:lang w:val="es-ES"/>
        </w:rPr>
        <w:drawing>
          <wp:inline distT="0" distB="0" distL="0" distR="0" wp14:anchorId="65BC75B0" wp14:editId="0829DAE7">
            <wp:extent cx="5612130" cy="2202603"/>
            <wp:effectExtent l="0" t="0" r="26670" b="3302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BF97ED" w14:textId="39A93976" w:rsidR="006F2A1D" w:rsidRDefault="006F2A1D" w:rsidP="00660401">
      <w:pPr>
        <w:rPr>
          <w:i/>
          <w:sz w:val="20"/>
          <w:szCs w:val="20"/>
        </w:rPr>
      </w:pPr>
      <w:r w:rsidRPr="006F2A1D">
        <w:rPr>
          <w:i/>
          <w:sz w:val="20"/>
          <w:szCs w:val="20"/>
        </w:rPr>
        <w:t>Elaborado en base a PNUD/IV Encuesta Nacional/09/16</w:t>
      </w:r>
    </w:p>
    <w:p w14:paraId="2C0E443A" w14:textId="77777777" w:rsidR="006F2A1D" w:rsidRDefault="006F2A1D" w:rsidP="00660401">
      <w:pPr>
        <w:rPr>
          <w:i/>
          <w:sz w:val="20"/>
          <w:szCs w:val="20"/>
        </w:rPr>
      </w:pPr>
    </w:p>
    <w:p w14:paraId="3A5C2F2D" w14:textId="77777777" w:rsidR="006F2A1D" w:rsidRDefault="006F2A1D" w:rsidP="00660401">
      <w:pPr>
        <w:rPr>
          <w:i/>
          <w:sz w:val="20"/>
          <w:szCs w:val="20"/>
        </w:rPr>
      </w:pPr>
    </w:p>
    <w:p w14:paraId="7D8A9D79" w14:textId="18B6D641" w:rsidR="006F2A1D" w:rsidRPr="00911CA5" w:rsidRDefault="006F2A1D" w:rsidP="00660401">
      <w:pPr>
        <w:rPr>
          <w:i/>
        </w:rPr>
      </w:pPr>
      <w:r w:rsidRPr="00911CA5">
        <w:rPr>
          <w:i/>
        </w:rPr>
        <w:t>RPV/</w:t>
      </w:r>
      <w:r w:rsidR="00911CA5" w:rsidRPr="00911CA5">
        <w:rPr>
          <w:i/>
        </w:rPr>
        <w:t>16/09/17</w:t>
      </w:r>
    </w:p>
    <w:sectPr w:rsidR="006F2A1D" w:rsidRPr="00911CA5"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401"/>
    <w:rsid w:val="000F4461"/>
    <w:rsid w:val="000F79BA"/>
    <w:rsid w:val="003107A5"/>
    <w:rsid w:val="0054286D"/>
    <w:rsid w:val="005E23BF"/>
    <w:rsid w:val="005F6060"/>
    <w:rsid w:val="006401B4"/>
    <w:rsid w:val="00660401"/>
    <w:rsid w:val="006B2C46"/>
    <w:rsid w:val="006F2A1D"/>
    <w:rsid w:val="0078022A"/>
    <w:rsid w:val="008548A3"/>
    <w:rsid w:val="008655BC"/>
    <w:rsid w:val="00911CA5"/>
    <w:rsid w:val="00A57F5B"/>
    <w:rsid w:val="00AA6A8F"/>
    <w:rsid w:val="00B238B6"/>
    <w:rsid w:val="00B951A9"/>
    <w:rsid w:val="00D47281"/>
    <w:rsid w:val="00D54269"/>
    <w:rsid w:val="00DD42AC"/>
    <w:rsid w:val="00E255E0"/>
    <w:rsid w:val="00EA1BD4"/>
    <w:rsid w:val="00EB03CB"/>
    <w:rsid w:val="00EE00D5"/>
    <w:rsid w:val="00EE0E67"/>
    <w:rsid w:val="00F017C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8AA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604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40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6040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04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604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40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66040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04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robinsonperez:Desktop:informes%20Senado:base%20datos%20agenda%20y%20opublic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Apoyo</a:t>
            </a:r>
            <a:r>
              <a:rPr lang="es-ES" sz="1200" baseline="0"/>
              <a:t> a gratuidad universal y 7 decil</a:t>
            </a:r>
            <a:endParaRPr lang="es-ES" sz="1200"/>
          </a:p>
        </c:rich>
      </c:tx>
      <c:overlay val="0"/>
    </c:title>
    <c:autoTitleDeleted val="0"/>
    <c:plotArea>
      <c:layout/>
      <c:lineChart>
        <c:grouping val="standard"/>
        <c:varyColors val="0"/>
        <c:ser>
          <c:idx val="0"/>
          <c:order val="0"/>
          <c:tx>
            <c:strRef>
              <c:f>Hoja1!$G$8:$G$10</c:f>
              <c:strCache>
                <c:ptCount val="1"/>
                <c:pt idx="0">
                  <c:v>grat universa</c:v>
                </c:pt>
              </c:strCache>
            </c:strRef>
          </c:tx>
          <c:dLbls>
            <c:dLbl>
              <c:idx val="0"/>
              <c:layout>
                <c:manualLayout>
                  <c:x val="-0.0333333333333333"/>
                  <c:y val="0.0740740740740741"/>
                </c:manualLayout>
              </c:layout>
              <c:showLegendKey val="0"/>
              <c:showVal val="1"/>
              <c:showCatName val="0"/>
              <c:showSerName val="0"/>
              <c:showPercent val="0"/>
              <c:showBubbleSize val="0"/>
            </c:dLbl>
            <c:dLbl>
              <c:idx val="1"/>
              <c:layout>
                <c:manualLayout>
                  <c:x val="-0.0444444444444444"/>
                  <c:y val="0.0601851851851852"/>
                </c:manualLayout>
              </c:layout>
              <c:showLegendKey val="0"/>
              <c:showVal val="1"/>
              <c:showCatName val="0"/>
              <c:showSerName val="0"/>
              <c:showPercent val="0"/>
              <c:showBubbleSize val="0"/>
            </c:dLbl>
            <c:dLbl>
              <c:idx val="2"/>
              <c:layout>
                <c:manualLayout>
                  <c:x val="-0.0305555555555555"/>
                  <c:y val="0.0462962962962962"/>
                </c:manualLayout>
              </c:layout>
              <c:showLegendKey val="0"/>
              <c:showVal val="1"/>
              <c:showCatName val="0"/>
              <c:showSerName val="0"/>
              <c:showPercent val="0"/>
              <c:showBubbleSize val="0"/>
            </c:dLbl>
            <c:dLbl>
              <c:idx val="3"/>
              <c:layout>
                <c:manualLayout>
                  <c:x val="0.0"/>
                  <c:y val="0.0277777777777778"/>
                </c:manualLayout>
              </c:layout>
              <c:showLegendKey val="0"/>
              <c:showVal val="1"/>
              <c:showCatName val="0"/>
              <c:showSerName val="0"/>
              <c:showPercent val="0"/>
              <c:showBubbleSize val="0"/>
            </c:dLbl>
            <c:txPr>
              <a:bodyPr/>
              <a:lstStyle/>
              <a:p>
                <a:pPr>
                  <a:defRPr sz="900" b="1"/>
                </a:pPr>
                <a:endParaRPr lang="es-ES"/>
              </a:p>
            </c:txPr>
            <c:showLegendKey val="0"/>
            <c:showVal val="1"/>
            <c:showCatName val="0"/>
            <c:showSerName val="0"/>
            <c:showPercent val="0"/>
            <c:showBubbleSize val="0"/>
            <c:showLeaderLines val="0"/>
          </c:dLbls>
          <c:cat>
            <c:numRef>
              <c:f>Hoja1!$F$11:$F$14</c:f>
              <c:numCache>
                <c:formatCode>mmm\-yy</c:formatCode>
                <c:ptCount val="4"/>
                <c:pt idx="0">
                  <c:v>41821.0</c:v>
                </c:pt>
                <c:pt idx="1">
                  <c:v>42309.0</c:v>
                </c:pt>
                <c:pt idx="2">
                  <c:v>42675.0</c:v>
                </c:pt>
                <c:pt idx="3">
                  <c:v>42917.0</c:v>
                </c:pt>
              </c:numCache>
            </c:numRef>
          </c:cat>
          <c:val>
            <c:numRef>
              <c:f>Hoja1!$G$11:$G$14</c:f>
              <c:numCache>
                <c:formatCode>General</c:formatCode>
                <c:ptCount val="4"/>
                <c:pt idx="0">
                  <c:v>38.0</c:v>
                </c:pt>
                <c:pt idx="1">
                  <c:v>44.0</c:v>
                </c:pt>
                <c:pt idx="2">
                  <c:v>42.0</c:v>
                </c:pt>
                <c:pt idx="3">
                  <c:v>46.0</c:v>
                </c:pt>
              </c:numCache>
            </c:numRef>
          </c:val>
          <c:smooth val="0"/>
        </c:ser>
        <c:ser>
          <c:idx val="1"/>
          <c:order val="1"/>
          <c:tx>
            <c:strRef>
              <c:f>Hoja1!$H$8:$H$10</c:f>
              <c:strCache>
                <c:ptCount val="1"/>
                <c:pt idx="0">
                  <c:v>grat 7 decil</c:v>
                </c:pt>
              </c:strCache>
            </c:strRef>
          </c:tx>
          <c:dLbls>
            <c:dLbl>
              <c:idx val="0"/>
              <c:layout>
                <c:manualLayout>
                  <c:x val="-0.0416666666666667"/>
                  <c:y val="-0.0694444444444444"/>
                </c:manualLayout>
              </c:layout>
              <c:showLegendKey val="0"/>
              <c:showVal val="1"/>
              <c:showCatName val="0"/>
              <c:showSerName val="0"/>
              <c:showPercent val="0"/>
              <c:showBubbleSize val="0"/>
            </c:dLbl>
            <c:dLbl>
              <c:idx val="1"/>
              <c:layout>
                <c:manualLayout>
                  <c:x val="-0.0388888888888889"/>
                  <c:y val="-0.0462962962962963"/>
                </c:manualLayout>
              </c:layout>
              <c:showLegendKey val="0"/>
              <c:showVal val="1"/>
              <c:showCatName val="0"/>
              <c:showSerName val="0"/>
              <c:showPercent val="0"/>
              <c:showBubbleSize val="0"/>
            </c:dLbl>
            <c:dLbl>
              <c:idx val="2"/>
              <c:layout>
                <c:manualLayout>
                  <c:x val="-0.0638888888888888"/>
                  <c:y val="-0.0416666666666667"/>
                </c:manualLayout>
              </c:layout>
              <c:showLegendKey val="0"/>
              <c:showVal val="1"/>
              <c:showCatName val="0"/>
              <c:showSerName val="0"/>
              <c:showPercent val="0"/>
              <c:showBubbleSize val="0"/>
            </c:dLbl>
            <c:txPr>
              <a:bodyPr/>
              <a:lstStyle/>
              <a:p>
                <a:pPr>
                  <a:defRPr sz="900" b="1"/>
                </a:pPr>
                <a:endParaRPr lang="es-ES"/>
              </a:p>
            </c:txPr>
            <c:showLegendKey val="0"/>
            <c:showVal val="1"/>
            <c:showCatName val="0"/>
            <c:showSerName val="0"/>
            <c:showPercent val="0"/>
            <c:showBubbleSize val="0"/>
            <c:showLeaderLines val="0"/>
          </c:dLbls>
          <c:cat>
            <c:numRef>
              <c:f>Hoja1!$F$11:$F$14</c:f>
              <c:numCache>
                <c:formatCode>mmm\-yy</c:formatCode>
                <c:ptCount val="4"/>
                <c:pt idx="0">
                  <c:v>41821.0</c:v>
                </c:pt>
                <c:pt idx="1">
                  <c:v>42309.0</c:v>
                </c:pt>
                <c:pt idx="2">
                  <c:v>42675.0</c:v>
                </c:pt>
                <c:pt idx="3">
                  <c:v>42917.0</c:v>
                </c:pt>
              </c:numCache>
            </c:numRef>
          </c:cat>
          <c:val>
            <c:numRef>
              <c:f>Hoja1!$H$11:$H$14</c:f>
              <c:numCache>
                <c:formatCode>General</c:formatCode>
                <c:ptCount val="4"/>
                <c:pt idx="0">
                  <c:v>57.0</c:v>
                </c:pt>
                <c:pt idx="1">
                  <c:v>49.0</c:v>
                </c:pt>
                <c:pt idx="2">
                  <c:v>52.0</c:v>
                </c:pt>
                <c:pt idx="3">
                  <c:v>51.0</c:v>
                </c:pt>
              </c:numCache>
            </c:numRef>
          </c:val>
          <c:smooth val="0"/>
        </c:ser>
        <c:dLbls>
          <c:showLegendKey val="0"/>
          <c:showVal val="1"/>
          <c:showCatName val="0"/>
          <c:showSerName val="0"/>
          <c:showPercent val="0"/>
          <c:showBubbleSize val="0"/>
        </c:dLbls>
        <c:marker val="1"/>
        <c:smooth val="0"/>
        <c:axId val="-2138827704"/>
        <c:axId val="2129254376"/>
      </c:lineChart>
      <c:dateAx>
        <c:axId val="-2138827704"/>
        <c:scaling>
          <c:orientation val="minMax"/>
        </c:scaling>
        <c:delete val="0"/>
        <c:axPos val="b"/>
        <c:numFmt formatCode="mmm\-yy" sourceLinked="1"/>
        <c:majorTickMark val="out"/>
        <c:minorTickMark val="none"/>
        <c:tickLblPos val="nextTo"/>
        <c:txPr>
          <a:bodyPr/>
          <a:lstStyle/>
          <a:p>
            <a:pPr>
              <a:defRPr sz="800"/>
            </a:pPr>
            <a:endParaRPr lang="es-ES"/>
          </a:p>
        </c:txPr>
        <c:crossAx val="2129254376"/>
        <c:crosses val="autoZero"/>
        <c:auto val="1"/>
        <c:lblOffset val="100"/>
        <c:baseTimeUnit val="months"/>
      </c:dateAx>
      <c:valAx>
        <c:axId val="2129254376"/>
        <c:scaling>
          <c:orientation val="minMax"/>
        </c:scaling>
        <c:delete val="0"/>
        <c:axPos val="l"/>
        <c:majorGridlines/>
        <c:numFmt formatCode="General" sourceLinked="1"/>
        <c:majorTickMark val="out"/>
        <c:minorTickMark val="none"/>
        <c:tickLblPos val="nextTo"/>
        <c:crossAx val="-2138827704"/>
        <c:crosses val="autoZero"/>
        <c:crossBetween val="between"/>
      </c:valAx>
      <c:spPr>
        <a:solidFill>
          <a:schemeClr val="accent3">
            <a:lumMod val="20000"/>
            <a:lumOff val="80000"/>
          </a:schemeClr>
        </a:solidFill>
      </c:spPr>
    </c:plotArea>
    <c:legend>
      <c:legendPos val="r"/>
      <c:overlay val="0"/>
      <c:txPr>
        <a:bodyPr/>
        <a:lstStyle/>
        <a:p>
          <a:pPr>
            <a:defRPr sz="900"/>
          </a:pPr>
          <a:endParaRPr lang="es-ES"/>
        </a:p>
      </c:txPr>
    </c:legend>
    <c:plotVisOnly val="1"/>
    <c:dispBlanksAs val="gap"/>
    <c:showDLblsOverMax val="0"/>
  </c:chart>
  <c:spPr>
    <a:solidFill>
      <a:schemeClr val="bg2"/>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aprobacion aborto terapéutico</a:t>
            </a:r>
          </a:p>
        </c:rich>
      </c:tx>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Hoja1!$H$116</c:f>
              <c:strCache>
                <c:ptCount val="1"/>
              </c:strCache>
            </c:strRef>
          </c:tx>
          <c:dLbls>
            <c:dLbl>
              <c:idx val="0"/>
              <c:layout>
                <c:manualLayout>
                  <c:x val="-0.0277777777777778"/>
                  <c:y val="-0.0462962962962963"/>
                </c:manualLayout>
              </c:layout>
              <c:showLegendKey val="0"/>
              <c:showVal val="1"/>
              <c:showCatName val="0"/>
              <c:showSerName val="0"/>
              <c:showPercent val="0"/>
              <c:showBubbleSize val="0"/>
            </c:dLbl>
            <c:dLbl>
              <c:idx val="1"/>
              <c:layout>
                <c:manualLayout>
                  <c:x val="-0.0165602081854744"/>
                  <c:y val="0.0523560209424083"/>
                </c:manualLayout>
              </c:layout>
              <c:showLegendKey val="0"/>
              <c:showVal val="1"/>
              <c:showCatName val="0"/>
              <c:showSerName val="0"/>
              <c:showPercent val="0"/>
              <c:showBubbleSize val="0"/>
            </c:dLbl>
            <c:dLbl>
              <c:idx val="2"/>
              <c:layout>
                <c:manualLayout>
                  <c:x val="0.00833333333333323"/>
                  <c:y val="-0.0416666666666667"/>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strRef>
              <c:f>Hoja1!$G$117:$G$120</c:f>
              <c:strCache>
                <c:ptCount val="3"/>
                <c:pt idx="0">
                  <c:v>enero</c:v>
                </c:pt>
                <c:pt idx="1">
                  <c:v>abril mayo</c:v>
                </c:pt>
                <c:pt idx="2">
                  <c:v>julio</c:v>
                </c:pt>
              </c:strCache>
            </c:strRef>
          </c:cat>
          <c:val>
            <c:numRef>
              <c:f>Hoja1!$H$117:$H$120</c:f>
              <c:numCache>
                <c:formatCode>General</c:formatCode>
                <c:ptCount val="4"/>
                <c:pt idx="0">
                  <c:v>71.0</c:v>
                </c:pt>
                <c:pt idx="1">
                  <c:v>66.0</c:v>
                </c:pt>
                <c:pt idx="2">
                  <c:v>70.0</c:v>
                </c:pt>
              </c:numCache>
            </c:numRef>
          </c:val>
          <c:smooth val="0"/>
        </c:ser>
        <c:dLbls>
          <c:showLegendKey val="0"/>
          <c:showVal val="0"/>
          <c:showCatName val="0"/>
          <c:showSerName val="0"/>
          <c:showPercent val="0"/>
          <c:showBubbleSize val="0"/>
        </c:dLbls>
        <c:axId val="-2140107016"/>
        <c:axId val="2129247992"/>
        <c:axId val="2129361736"/>
      </c:line3DChart>
      <c:catAx>
        <c:axId val="-2140107016"/>
        <c:scaling>
          <c:orientation val="minMax"/>
        </c:scaling>
        <c:delete val="0"/>
        <c:axPos val="b"/>
        <c:majorTickMark val="out"/>
        <c:minorTickMark val="none"/>
        <c:tickLblPos val="nextTo"/>
        <c:crossAx val="2129247992"/>
        <c:crosses val="autoZero"/>
        <c:auto val="1"/>
        <c:lblAlgn val="ctr"/>
        <c:lblOffset val="100"/>
        <c:noMultiLvlLbl val="0"/>
      </c:catAx>
      <c:valAx>
        <c:axId val="2129247992"/>
        <c:scaling>
          <c:orientation val="minMax"/>
        </c:scaling>
        <c:delete val="0"/>
        <c:axPos val="l"/>
        <c:majorGridlines/>
        <c:numFmt formatCode="General" sourceLinked="1"/>
        <c:majorTickMark val="out"/>
        <c:minorTickMark val="none"/>
        <c:tickLblPos val="nextTo"/>
        <c:crossAx val="-2140107016"/>
        <c:crosses val="autoZero"/>
        <c:crossBetween val="between"/>
      </c:valAx>
      <c:serAx>
        <c:axId val="2129361736"/>
        <c:scaling>
          <c:orientation val="minMax"/>
        </c:scaling>
        <c:delete val="0"/>
        <c:axPos val="b"/>
        <c:majorTickMark val="out"/>
        <c:minorTickMark val="none"/>
        <c:tickLblPos val="nextTo"/>
        <c:crossAx val="2129247992"/>
        <c:crosses val="autoZero"/>
      </c:serAx>
      <c:spPr>
        <a:solidFill>
          <a:schemeClr val="accent3">
            <a:lumMod val="20000"/>
            <a:lumOff val="80000"/>
          </a:schemeClr>
        </a:solidFill>
      </c:spPr>
    </c:plotArea>
    <c:plotVisOnly val="1"/>
    <c:dispBlanksAs val="gap"/>
    <c:showDLblsOverMax val="0"/>
  </c:chart>
  <c:spPr>
    <a:solidFill>
      <a:schemeClr val="accent6">
        <a:lumMod val="20000"/>
        <a:lumOff val="80000"/>
      </a:schemeClr>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latin typeface="+mn-lt"/>
              </a:defRPr>
            </a:pPr>
            <a:r>
              <a:rPr lang="es-ES" sz="1200">
                <a:latin typeface="+mn-lt"/>
              </a:rPr>
              <a:t>Aprobación matrimonio igualitario  2010-2014</a:t>
            </a:r>
          </a:p>
        </c:rich>
      </c:tx>
      <c:overlay val="0"/>
    </c:title>
    <c:autoTitleDeleted val="0"/>
    <c:plotArea>
      <c:layout/>
      <c:lineChart>
        <c:grouping val="standard"/>
        <c:varyColors val="0"/>
        <c:ser>
          <c:idx val="0"/>
          <c:order val="0"/>
          <c:tx>
            <c:strRef>
              <c:f>Hoja1!$H$135:$H$136</c:f>
              <c:strCache>
                <c:ptCount val="1"/>
                <c:pt idx="0">
                  <c:v>acuerdo</c:v>
                </c:pt>
              </c:strCache>
            </c:strRef>
          </c:tx>
          <c:marker>
            <c:symbol val="none"/>
          </c:marker>
          <c:dLbls>
            <c:dLbl>
              <c:idx val="0"/>
              <c:layout>
                <c:manualLayout>
                  <c:x val="-0.0527777777777778"/>
                  <c:y val="0.0555555555555555"/>
                </c:manualLayout>
              </c:layout>
              <c:showLegendKey val="0"/>
              <c:showVal val="1"/>
              <c:showCatName val="0"/>
              <c:showSerName val="0"/>
              <c:showPercent val="0"/>
              <c:showBubbleSize val="0"/>
            </c:dLbl>
            <c:dLbl>
              <c:idx val="1"/>
              <c:layout>
                <c:manualLayout>
                  <c:x val="-0.0444444444444445"/>
                  <c:y val="-0.0231481481481481"/>
                </c:manualLayout>
              </c:layout>
              <c:showLegendKey val="0"/>
              <c:showVal val="1"/>
              <c:showCatName val="0"/>
              <c:showSerName val="0"/>
              <c:showPercent val="0"/>
              <c:showBubbleSize val="0"/>
            </c:dLbl>
            <c:dLbl>
              <c:idx val="2"/>
              <c:layout>
                <c:manualLayout>
                  <c:x val="-0.0277777777777778"/>
                  <c:y val="-0.0277777777777778"/>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Hoja1!$G$137:$G$142</c:f>
              <c:numCache>
                <c:formatCode>General</c:formatCode>
                <c:ptCount val="6"/>
                <c:pt idx="0">
                  <c:v>2010.0</c:v>
                </c:pt>
                <c:pt idx="1">
                  <c:v>2011.0</c:v>
                </c:pt>
                <c:pt idx="2">
                  <c:v>2012.0</c:v>
                </c:pt>
                <c:pt idx="3">
                  <c:v>2013.0</c:v>
                </c:pt>
                <c:pt idx="4">
                  <c:v>2014.0</c:v>
                </c:pt>
              </c:numCache>
            </c:numRef>
          </c:cat>
          <c:val>
            <c:numRef>
              <c:f>Hoja1!$H$137:$H$142</c:f>
              <c:numCache>
                <c:formatCode>General</c:formatCode>
                <c:ptCount val="6"/>
                <c:pt idx="0">
                  <c:v>33.8</c:v>
                </c:pt>
                <c:pt idx="1">
                  <c:v>43.0</c:v>
                </c:pt>
                <c:pt idx="2">
                  <c:v>41.9</c:v>
                </c:pt>
                <c:pt idx="3">
                  <c:v>42.1</c:v>
                </c:pt>
                <c:pt idx="4">
                  <c:v>45.7</c:v>
                </c:pt>
              </c:numCache>
            </c:numRef>
          </c:val>
          <c:smooth val="0"/>
        </c:ser>
        <c:ser>
          <c:idx val="1"/>
          <c:order val="1"/>
          <c:tx>
            <c:strRef>
              <c:f>Hoja1!$I$135:$I$136</c:f>
              <c:strCache>
                <c:ptCount val="1"/>
                <c:pt idx="0">
                  <c:v>rechazo</c:v>
                </c:pt>
              </c:strCache>
            </c:strRef>
          </c:tx>
          <c:marker>
            <c:symbol val="none"/>
          </c:marker>
          <c:dLbls>
            <c:dLbl>
              <c:idx val="0"/>
              <c:layout>
                <c:manualLayout>
                  <c:x val="-0.05"/>
                  <c:y val="-0.0416666666666667"/>
                </c:manualLayout>
              </c:layout>
              <c:showLegendKey val="0"/>
              <c:showVal val="1"/>
              <c:showCatName val="0"/>
              <c:showSerName val="0"/>
              <c:showPercent val="0"/>
              <c:showBubbleSize val="0"/>
            </c:dLbl>
            <c:dLbl>
              <c:idx val="2"/>
              <c:layout>
                <c:manualLayout>
                  <c:x val="-0.0333333333333333"/>
                  <c:y val="0.0416666666666666"/>
                </c:manualLayout>
              </c:layout>
              <c:showLegendKey val="0"/>
              <c:showVal val="1"/>
              <c:showCatName val="0"/>
              <c:showSerName val="0"/>
              <c:showPercent val="0"/>
              <c:showBubbleSize val="0"/>
            </c:dLbl>
            <c:dLbl>
              <c:idx val="3"/>
              <c:layout>
                <c:manualLayout>
                  <c:x val="-0.0166666666666667"/>
                  <c:y val="0.0509259259259259"/>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Hoja1!$G$137:$G$142</c:f>
              <c:numCache>
                <c:formatCode>General</c:formatCode>
                <c:ptCount val="6"/>
                <c:pt idx="0">
                  <c:v>2010.0</c:v>
                </c:pt>
                <c:pt idx="1">
                  <c:v>2011.0</c:v>
                </c:pt>
                <c:pt idx="2">
                  <c:v>2012.0</c:v>
                </c:pt>
                <c:pt idx="3">
                  <c:v>2013.0</c:v>
                </c:pt>
                <c:pt idx="4">
                  <c:v>2014.0</c:v>
                </c:pt>
              </c:numCache>
            </c:numRef>
          </c:cat>
          <c:val>
            <c:numRef>
              <c:f>Hoja1!$I$137:$I$142</c:f>
              <c:numCache>
                <c:formatCode>General</c:formatCode>
                <c:ptCount val="6"/>
                <c:pt idx="0">
                  <c:v>37.3</c:v>
                </c:pt>
                <c:pt idx="1">
                  <c:v>33.8</c:v>
                </c:pt>
                <c:pt idx="2">
                  <c:v>38.2</c:v>
                </c:pt>
                <c:pt idx="3">
                  <c:v>33.1</c:v>
                </c:pt>
                <c:pt idx="4">
                  <c:v>31.6</c:v>
                </c:pt>
              </c:numCache>
            </c:numRef>
          </c:val>
          <c:smooth val="0"/>
        </c:ser>
        <c:dLbls>
          <c:showLegendKey val="0"/>
          <c:showVal val="1"/>
          <c:showCatName val="0"/>
          <c:showSerName val="0"/>
          <c:showPercent val="0"/>
          <c:showBubbleSize val="0"/>
        </c:dLbls>
        <c:marker val="1"/>
        <c:smooth val="0"/>
        <c:axId val="-2139290584"/>
        <c:axId val="2123169128"/>
      </c:lineChart>
      <c:catAx>
        <c:axId val="-2139290584"/>
        <c:scaling>
          <c:orientation val="minMax"/>
        </c:scaling>
        <c:delete val="0"/>
        <c:axPos val="b"/>
        <c:numFmt formatCode="General" sourceLinked="1"/>
        <c:majorTickMark val="out"/>
        <c:minorTickMark val="none"/>
        <c:tickLblPos val="nextTo"/>
        <c:txPr>
          <a:bodyPr/>
          <a:lstStyle/>
          <a:p>
            <a:pPr>
              <a:defRPr sz="900"/>
            </a:pPr>
            <a:endParaRPr lang="es-ES"/>
          </a:p>
        </c:txPr>
        <c:crossAx val="2123169128"/>
        <c:crosses val="autoZero"/>
        <c:auto val="1"/>
        <c:lblAlgn val="ctr"/>
        <c:lblOffset val="100"/>
        <c:noMultiLvlLbl val="0"/>
      </c:catAx>
      <c:valAx>
        <c:axId val="2123169128"/>
        <c:scaling>
          <c:orientation val="minMax"/>
        </c:scaling>
        <c:delete val="0"/>
        <c:axPos val="l"/>
        <c:majorGridlines/>
        <c:numFmt formatCode="General" sourceLinked="1"/>
        <c:majorTickMark val="out"/>
        <c:minorTickMark val="none"/>
        <c:tickLblPos val="nextTo"/>
        <c:crossAx val="-2139290584"/>
        <c:crosses val="autoZero"/>
        <c:crossBetween val="between"/>
      </c:valAx>
      <c:spPr>
        <a:solidFill>
          <a:schemeClr val="accent3">
            <a:lumMod val="20000"/>
            <a:lumOff val="80000"/>
          </a:schemeClr>
        </a:solidFill>
      </c:spPr>
    </c:plotArea>
    <c:legend>
      <c:legendPos val="r"/>
      <c:overlay val="0"/>
    </c:legend>
    <c:plotVisOnly val="1"/>
    <c:dispBlanksAs val="gap"/>
    <c:showDLblsOverMax val="0"/>
  </c:chart>
  <c:spPr>
    <a:solidFill>
      <a:schemeClr val="bg2"/>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s-ES" sz="1100"/>
              <a:t>Aprobacion matrimonio</a:t>
            </a:r>
            <a:r>
              <a:rPr lang="es-ES" sz="1100" baseline="0"/>
              <a:t> igualitario 2014-2017</a:t>
            </a:r>
            <a:endParaRPr lang="es-ES" sz="1100"/>
          </a:p>
        </c:rich>
      </c:tx>
      <c:overlay val="0"/>
    </c:title>
    <c:autoTitleDeleted val="0"/>
    <c:plotArea>
      <c:layout/>
      <c:lineChart>
        <c:grouping val="stacked"/>
        <c:varyColors val="0"/>
        <c:ser>
          <c:idx val="0"/>
          <c:order val="0"/>
          <c:tx>
            <c:strRef>
              <c:f>Hoja1!$M$145</c:f>
              <c:strCache>
                <c:ptCount val="1"/>
              </c:strCache>
            </c:strRef>
          </c:tx>
          <c:spPr>
            <a:ln>
              <a:solidFill>
                <a:srgbClr val="FF0000"/>
              </a:solidFill>
            </a:ln>
          </c:spPr>
          <c:marker>
            <c:symbol val="none"/>
          </c:marker>
          <c:dPt>
            <c:idx val="3"/>
            <c:bubble3D val="0"/>
          </c:dPt>
          <c:dLbls>
            <c:dLbl>
              <c:idx val="1"/>
              <c:layout>
                <c:manualLayout>
                  <c:x val="-0.0193376843123036"/>
                  <c:y val="-0.0523560209424084"/>
                </c:manualLayout>
              </c:layout>
              <c:showLegendKey val="0"/>
              <c:showVal val="1"/>
              <c:showCatName val="0"/>
              <c:showSerName val="0"/>
              <c:showPercent val="0"/>
              <c:showBubbleSize val="0"/>
            </c:dLbl>
            <c:spPr>
              <a:ln>
                <a:solidFill>
                  <a:schemeClr val="bg1"/>
                </a:solidFill>
              </a:ln>
            </c:spPr>
            <c:txPr>
              <a:bodyPr/>
              <a:lstStyle/>
              <a:p>
                <a:pPr>
                  <a:defRPr b="1"/>
                </a:pPr>
                <a:endParaRPr lang="es-ES"/>
              </a:p>
            </c:txPr>
            <c:showLegendKey val="0"/>
            <c:showVal val="1"/>
            <c:showCatName val="0"/>
            <c:showSerName val="0"/>
            <c:showPercent val="0"/>
            <c:showBubbleSize val="0"/>
            <c:showLeaderLines val="0"/>
          </c:dLbls>
          <c:cat>
            <c:numRef>
              <c:f>Hoja1!$L$146:$L$149</c:f>
              <c:numCache>
                <c:formatCode>mmm\-yy</c:formatCode>
                <c:ptCount val="4"/>
                <c:pt idx="0">
                  <c:v>41944.0</c:v>
                </c:pt>
                <c:pt idx="1">
                  <c:v>42248.0</c:v>
                </c:pt>
                <c:pt idx="2">
                  <c:v>42583.0</c:v>
                </c:pt>
                <c:pt idx="3">
                  <c:v>42917.0</c:v>
                </c:pt>
              </c:numCache>
            </c:numRef>
          </c:cat>
          <c:val>
            <c:numRef>
              <c:f>Hoja1!$M$146:$M$149</c:f>
              <c:numCache>
                <c:formatCode>General</c:formatCode>
                <c:ptCount val="4"/>
                <c:pt idx="0">
                  <c:v>55.0</c:v>
                </c:pt>
                <c:pt idx="1">
                  <c:v>60.0</c:v>
                </c:pt>
                <c:pt idx="2">
                  <c:v>56.0</c:v>
                </c:pt>
                <c:pt idx="3">
                  <c:v>61.0</c:v>
                </c:pt>
              </c:numCache>
            </c:numRef>
          </c:val>
          <c:smooth val="0"/>
        </c:ser>
        <c:dLbls>
          <c:showLegendKey val="0"/>
          <c:showVal val="1"/>
          <c:showCatName val="0"/>
          <c:showSerName val="0"/>
          <c:showPercent val="0"/>
          <c:showBubbleSize val="0"/>
        </c:dLbls>
        <c:marker val="1"/>
        <c:smooth val="0"/>
        <c:axId val="-2138132568"/>
        <c:axId val="-2138976872"/>
      </c:lineChart>
      <c:dateAx>
        <c:axId val="-2138132568"/>
        <c:scaling>
          <c:orientation val="minMax"/>
        </c:scaling>
        <c:delete val="0"/>
        <c:axPos val="b"/>
        <c:numFmt formatCode="mmm\-yy" sourceLinked="1"/>
        <c:majorTickMark val="out"/>
        <c:minorTickMark val="none"/>
        <c:tickLblPos val="nextTo"/>
        <c:txPr>
          <a:bodyPr/>
          <a:lstStyle/>
          <a:p>
            <a:pPr>
              <a:defRPr sz="800"/>
            </a:pPr>
            <a:endParaRPr lang="es-ES"/>
          </a:p>
        </c:txPr>
        <c:crossAx val="-2138976872"/>
        <c:crosses val="autoZero"/>
        <c:auto val="1"/>
        <c:lblOffset val="100"/>
        <c:baseTimeUnit val="months"/>
      </c:dateAx>
      <c:valAx>
        <c:axId val="-2138976872"/>
        <c:scaling>
          <c:orientation val="minMax"/>
        </c:scaling>
        <c:delete val="0"/>
        <c:axPos val="l"/>
        <c:majorGridlines/>
        <c:numFmt formatCode="General" sourceLinked="1"/>
        <c:majorTickMark val="out"/>
        <c:minorTickMark val="none"/>
        <c:tickLblPos val="nextTo"/>
        <c:crossAx val="-2138132568"/>
        <c:crosses val="autoZero"/>
        <c:crossBetween val="between"/>
      </c:valAx>
      <c:spPr>
        <a:solidFill>
          <a:schemeClr val="accent3">
            <a:lumMod val="20000"/>
            <a:lumOff val="80000"/>
          </a:schemeClr>
        </a:solidFill>
      </c:spPr>
    </c:plotArea>
    <c:plotVisOnly val="1"/>
    <c:dispBlanksAs val="gap"/>
    <c:showDLblsOverMax val="0"/>
  </c:chart>
  <c:spPr>
    <a:solidFill>
      <a:schemeClr val="bg2"/>
    </a:solidFill>
    <a:ln>
      <a:solidFill>
        <a:srgbClr val="FFFFFF"/>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sz="1200"/>
              <a:t>Apoyo</a:t>
            </a:r>
            <a:r>
              <a:rPr lang="es-ES" sz="1200" baseline="0"/>
              <a:t> a adopcion hijos matrimonio homosexual</a:t>
            </a:r>
            <a:endParaRPr lang="es-ES" sz="1200"/>
          </a:p>
        </c:rich>
      </c:tx>
      <c:overlay val="0"/>
    </c:title>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Hoja1!$H$30</c:f>
              <c:strCache>
                <c:ptCount val="1"/>
              </c:strCache>
            </c:strRef>
          </c:tx>
          <c:spPr>
            <a:solidFill>
              <a:srgbClr val="FF0000"/>
            </a:solidFill>
          </c:spPr>
          <c:dPt>
            <c:idx val="3"/>
            <c:bubble3D val="0"/>
          </c:dPt>
          <c:dPt>
            <c:idx val="4"/>
            <c:bubble3D val="0"/>
          </c:dPt>
          <c:dPt>
            <c:idx val="5"/>
            <c:bubble3D val="0"/>
          </c:dPt>
          <c:dLbls>
            <c:dLbl>
              <c:idx val="0"/>
              <c:layout>
                <c:manualLayout>
                  <c:x val="-0.0694047944483454"/>
                  <c:y val="-0.0169639757102518"/>
                </c:manualLayout>
              </c:layout>
              <c:showLegendKey val="0"/>
              <c:showVal val="1"/>
              <c:showCatName val="0"/>
              <c:showSerName val="0"/>
              <c:showPercent val="0"/>
              <c:showBubbleSize val="0"/>
            </c:dLbl>
            <c:dLbl>
              <c:idx val="1"/>
              <c:layout>
                <c:manualLayout>
                  <c:x val="-0.0113455865668255"/>
                  <c:y val="0.0616712920135677"/>
                </c:manualLayout>
              </c:layout>
              <c:showLegendKey val="0"/>
              <c:showVal val="1"/>
              <c:showCatName val="0"/>
              <c:showSerName val="0"/>
              <c:showPercent val="0"/>
              <c:showBubbleSize val="0"/>
            </c:dLbl>
            <c:dLbl>
              <c:idx val="3"/>
              <c:layout>
                <c:manualLayout>
                  <c:x val="-0.0255086306859702"/>
                  <c:y val="-0.0478166177423937"/>
                </c:manualLayout>
              </c:layout>
              <c:showLegendKey val="0"/>
              <c:showVal val="1"/>
              <c:showCatName val="0"/>
              <c:showSerName val="0"/>
              <c:showPercent val="0"/>
              <c:showBubbleSize val="0"/>
            </c:dLbl>
            <c:dLbl>
              <c:idx val="4"/>
              <c:layout>
                <c:manualLayout>
                  <c:x val="-0.0305555555555557"/>
                  <c:y val="-0.0462962962962963"/>
                </c:manualLayout>
              </c:layout>
              <c:showLegendKey val="0"/>
              <c:showVal val="1"/>
              <c:showCatName val="0"/>
              <c:showSerName val="0"/>
              <c:showPercent val="0"/>
              <c:showBubbleSize val="0"/>
            </c:dLbl>
            <c:txPr>
              <a:bodyPr/>
              <a:lstStyle/>
              <a:p>
                <a:pPr>
                  <a:defRPr sz="1100" b="1"/>
                </a:pPr>
                <a:endParaRPr lang="es-ES"/>
              </a:p>
            </c:txPr>
            <c:showLegendKey val="0"/>
            <c:showVal val="1"/>
            <c:showCatName val="0"/>
            <c:showSerName val="0"/>
            <c:showPercent val="0"/>
            <c:showBubbleSize val="0"/>
            <c:showLeaderLines val="0"/>
          </c:dLbls>
          <c:cat>
            <c:numRef>
              <c:f>Hoja1!$G$31:$G$37</c:f>
              <c:numCache>
                <c:formatCode>mmm\-yy</c:formatCode>
                <c:ptCount val="7"/>
                <c:pt idx="0">
                  <c:v>42370.0</c:v>
                </c:pt>
                <c:pt idx="1">
                  <c:v>42491.0</c:v>
                </c:pt>
                <c:pt idx="2">
                  <c:v>42583.0</c:v>
                </c:pt>
                <c:pt idx="3">
                  <c:v>42736.0</c:v>
                </c:pt>
                <c:pt idx="4">
                  <c:v>42917.0</c:v>
                </c:pt>
                <c:pt idx="5">
                  <c:v>42979.0</c:v>
                </c:pt>
              </c:numCache>
            </c:numRef>
          </c:cat>
          <c:val>
            <c:numRef>
              <c:f>Hoja1!$H$31:$H$37</c:f>
              <c:numCache>
                <c:formatCode>General</c:formatCode>
                <c:ptCount val="7"/>
                <c:pt idx="0">
                  <c:v>41.0</c:v>
                </c:pt>
                <c:pt idx="1">
                  <c:v>41.0</c:v>
                </c:pt>
                <c:pt idx="2">
                  <c:v>41.0</c:v>
                </c:pt>
                <c:pt idx="3">
                  <c:v>45.0</c:v>
                </c:pt>
                <c:pt idx="4">
                  <c:v>43.0</c:v>
                </c:pt>
                <c:pt idx="5">
                  <c:v>43.0</c:v>
                </c:pt>
              </c:numCache>
            </c:numRef>
          </c:val>
          <c:smooth val="0"/>
        </c:ser>
        <c:dLbls>
          <c:showLegendKey val="0"/>
          <c:showVal val="1"/>
          <c:showCatName val="0"/>
          <c:showSerName val="0"/>
          <c:showPercent val="0"/>
          <c:showBubbleSize val="0"/>
        </c:dLbls>
        <c:axId val="2123259064"/>
        <c:axId val="-2138951944"/>
        <c:axId val="2123185896"/>
      </c:line3DChart>
      <c:dateAx>
        <c:axId val="2123259064"/>
        <c:scaling>
          <c:orientation val="minMax"/>
        </c:scaling>
        <c:delete val="0"/>
        <c:axPos val="b"/>
        <c:numFmt formatCode="mmm\-yy" sourceLinked="1"/>
        <c:majorTickMark val="out"/>
        <c:minorTickMark val="none"/>
        <c:tickLblPos val="nextTo"/>
        <c:txPr>
          <a:bodyPr/>
          <a:lstStyle/>
          <a:p>
            <a:pPr>
              <a:defRPr sz="800"/>
            </a:pPr>
            <a:endParaRPr lang="es-ES"/>
          </a:p>
        </c:txPr>
        <c:crossAx val="-2138951944"/>
        <c:crosses val="autoZero"/>
        <c:auto val="1"/>
        <c:lblOffset val="100"/>
        <c:baseTimeUnit val="months"/>
      </c:dateAx>
      <c:valAx>
        <c:axId val="-2138951944"/>
        <c:scaling>
          <c:orientation val="minMax"/>
        </c:scaling>
        <c:delete val="0"/>
        <c:axPos val="l"/>
        <c:majorGridlines/>
        <c:numFmt formatCode="General" sourceLinked="1"/>
        <c:majorTickMark val="out"/>
        <c:minorTickMark val="none"/>
        <c:tickLblPos val="nextTo"/>
        <c:crossAx val="2123259064"/>
        <c:crosses val="autoZero"/>
        <c:crossBetween val="between"/>
      </c:valAx>
      <c:serAx>
        <c:axId val="2123185896"/>
        <c:scaling>
          <c:orientation val="minMax"/>
        </c:scaling>
        <c:delete val="0"/>
        <c:axPos val="b"/>
        <c:majorTickMark val="out"/>
        <c:minorTickMark val="none"/>
        <c:tickLblPos val="nextTo"/>
        <c:crossAx val="-2138951944"/>
        <c:crosses val="autoZero"/>
      </c:serAx>
      <c:spPr>
        <a:solidFill>
          <a:schemeClr val="accent3">
            <a:lumMod val="20000"/>
            <a:lumOff val="80000"/>
          </a:schemeClr>
        </a:solidFill>
      </c:spPr>
    </c:plotArea>
    <c:plotVisOnly val="1"/>
    <c:dispBlanksAs val="gap"/>
    <c:showDLblsOverMax val="0"/>
  </c:chart>
  <c:spPr>
    <a:solidFill>
      <a:schemeClr val="bg2"/>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a:pPr>
            <a:r>
              <a:rPr lang="es-ES" sz="1200"/>
              <a:t>Importancia</a:t>
            </a:r>
            <a:r>
              <a:rPr lang="es-ES" sz="1200" baseline="0"/>
              <a:t> de la reforma constitucional</a:t>
            </a:r>
            <a:endParaRPr lang="es-ES" sz="1200"/>
          </a:p>
        </c:rich>
      </c:tx>
      <c:overlay val="0"/>
    </c:title>
    <c:autoTitleDeleted val="0"/>
    <c:view3D>
      <c:rotX val="15"/>
      <c:rotY val="20"/>
      <c:rAngAx val="1"/>
    </c:view3D>
    <c:floor>
      <c:thickness val="0"/>
    </c:floor>
    <c:sideWall>
      <c:thickness val="0"/>
      <c:spPr>
        <a:solidFill>
          <a:schemeClr val="accent3">
            <a:lumMod val="20000"/>
            <a:lumOff val="80000"/>
          </a:schemeClr>
        </a:solidFill>
      </c:spPr>
    </c:sideWall>
    <c:backWall>
      <c:thickness val="0"/>
      <c:spPr>
        <a:solidFill>
          <a:schemeClr val="accent3">
            <a:lumMod val="20000"/>
            <a:lumOff val="80000"/>
          </a:schemeClr>
        </a:solidFill>
      </c:spPr>
    </c:backWall>
    <c:plotArea>
      <c:layout/>
      <c:bar3DChart>
        <c:barDir val="col"/>
        <c:grouping val="clustered"/>
        <c:varyColors val="0"/>
        <c:ser>
          <c:idx val="0"/>
          <c:order val="0"/>
          <c:tx>
            <c:strRef>
              <c:f>Hoja1!$G$83:$G$84</c:f>
              <c:strCache>
                <c:ptCount val="1"/>
                <c:pt idx="0">
                  <c:v>Mucho</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numRef>
              <c:f>Hoja1!$F$85:$F$87</c:f>
              <c:numCache>
                <c:formatCode>General</c:formatCode>
                <c:ptCount val="3"/>
                <c:pt idx="0">
                  <c:v>2013.0</c:v>
                </c:pt>
                <c:pt idx="1">
                  <c:v>2016.0</c:v>
                </c:pt>
              </c:numCache>
            </c:numRef>
          </c:cat>
          <c:val>
            <c:numRef>
              <c:f>Hoja1!$G$85:$G$87</c:f>
              <c:numCache>
                <c:formatCode>General</c:formatCode>
                <c:ptCount val="3"/>
                <c:pt idx="0">
                  <c:v>84.0</c:v>
                </c:pt>
                <c:pt idx="1">
                  <c:v>84.0</c:v>
                </c:pt>
              </c:numCache>
            </c:numRef>
          </c:val>
        </c:ser>
        <c:ser>
          <c:idx val="1"/>
          <c:order val="1"/>
          <c:tx>
            <c:strRef>
              <c:f>Hoja1!$H$83:$H$84</c:f>
              <c:strCache>
                <c:ptCount val="1"/>
                <c:pt idx="0">
                  <c:v>Poco</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numRef>
              <c:f>Hoja1!$F$85:$F$87</c:f>
              <c:numCache>
                <c:formatCode>General</c:formatCode>
                <c:ptCount val="3"/>
                <c:pt idx="0">
                  <c:v>2013.0</c:v>
                </c:pt>
                <c:pt idx="1">
                  <c:v>2016.0</c:v>
                </c:pt>
              </c:numCache>
            </c:numRef>
          </c:cat>
          <c:val>
            <c:numRef>
              <c:f>Hoja1!$H$85:$H$87</c:f>
              <c:numCache>
                <c:formatCode>General</c:formatCode>
                <c:ptCount val="3"/>
                <c:pt idx="0">
                  <c:v>13.0</c:v>
                </c:pt>
                <c:pt idx="1">
                  <c:v>7.0</c:v>
                </c:pt>
              </c:numCache>
            </c:numRef>
          </c:val>
        </c:ser>
        <c:dLbls>
          <c:showLegendKey val="0"/>
          <c:showVal val="1"/>
          <c:showCatName val="0"/>
          <c:showSerName val="0"/>
          <c:showPercent val="0"/>
          <c:showBubbleSize val="0"/>
        </c:dLbls>
        <c:gapWidth val="150"/>
        <c:shape val="cylinder"/>
        <c:axId val="2122339512"/>
        <c:axId val="2122528248"/>
        <c:axId val="0"/>
      </c:bar3DChart>
      <c:catAx>
        <c:axId val="2122339512"/>
        <c:scaling>
          <c:orientation val="minMax"/>
        </c:scaling>
        <c:delete val="0"/>
        <c:axPos val="b"/>
        <c:numFmt formatCode="General" sourceLinked="1"/>
        <c:majorTickMark val="out"/>
        <c:minorTickMark val="none"/>
        <c:tickLblPos val="nextTo"/>
        <c:txPr>
          <a:bodyPr/>
          <a:lstStyle/>
          <a:p>
            <a:pPr>
              <a:defRPr sz="900"/>
            </a:pPr>
            <a:endParaRPr lang="es-ES"/>
          </a:p>
        </c:txPr>
        <c:crossAx val="2122528248"/>
        <c:crosses val="autoZero"/>
        <c:auto val="1"/>
        <c:lblAlgn val="ctr"/>
        <c:lblOffset val="100"/>
        <c:noMultiLvlLbl val="0"/>
      </c:catAx>
      <c:valAx>
        <c:axId val="2122528248"/>
        <c:scaling>
          <c:orientation val="minMax"/>
        </c:scaling>
        <c:delete val="0"/>
        <c:axPos val="l"/>
        <c:majorGridlines/>
        <c:numFmt formatCode="General" sourceLinked="1"/>
        <c:majorTickMark val="out"/>
        <c:minorTickMark val="none"/>
        <c:tickLblPos val="nextTo"/>
        <c:crossAx val="2122339512"/>
        <c:crosses val="autoZero"/>
        <c:crossBetween val="between"/>
      </c:valAx>
    </c:plotArea>
    <c:legend>
      <c:legendPos val="r"/>
      <c:overlay val="0"/>
      <c:txPr>
        <a:bodyPr/>
        <a:lstStyle/>
        <a:p>
          <a:pPr>
            <a:defRPr sz="800" b="1"/>
          </a:pPr>
          <a:endParaRPr lang="es-ES"/>
        </a:p>
      </c:txPr>
    </c:legend>
    <c:plotVisOnly val="1"/>
    <c:dispBlanksAs val="gap"/>
    <c:showDLblsOverMax val="0"/>
  </c:chart>
  <c:spPr>
    <a:solidFill>
      <a:schemeClr val="bg2"/>
    </a:solidFill>
    <a:ln>
      <a:solidFill>
        <a:srgbClr val="FFFFFF"/>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00"/>
            </a:pPr>
            <a:r>
              <a:rPr lang="es-ES" sz="1100"/>
              <a:t>Reforma</a:t>
            </a:r>
            <a:r>
              <a:rPr lang="es-ES" sz="1100" baseline="0"/>
              <a:t> constitucional</a:t>
            </a:r>
            <a:endParaRPr lang="es-ES" sz="11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Hoja1!$G$65:$G$66</c:f>
              <c:strCache>
                <c:ptCount val="1"/>
                <c:pt idx="0">
                  <c:v>Cambios profundos</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numRef>
              <c:f>Hoja1!$F$67:$F$69</c:f>
              <c:numCache>
                <c:formatCode>General</c:formatCode>
                <c:ptCount val="3"/>
                <c:pt idx="0">
                  <c:v>2013.0</c:v>
                </c:pt>
                <c:pt idx="1">
                  <c:v>2016.0</c:v>
                </c:pt>
              </c:numCache>
            </c:numRef>
          </c:cat>
          <c:val>
            <c:numRef>
              <c:f>Hoja1!$G$67:$G$69</c:f>
              <c:numCache>
                <c:formatCode>General</c:formatCode>
                <c:ptCount val="3"/>
                <c:pt idx="0">
                  <c:v>72.0</c:v>
                </c:pt>
                <c:pt idx="1">
                  <c:v>66.0</c:v>
                </c:pt>
              </c:numCache>
            </c:numRef>
          </c:val>
        </c:ser>
        <c:ser>
          <c:idx val="1"/>
          <c:order val="1"/>
          <c:tx>
            <c:strRef>
              <c:f>Hoja1!$H$65:$H$66</c:f>
              <c:strCache>
                <c:ptCount val="1"/>
                <c:pt idx="0">
                  <c:v>Cambios profundos</c:v>
                </c:pt>
              </c:strCache>
            </c:strRef>
          </c:tx>
          <c:invertIfNegative val="0"/>
          <c:cat>
            <c:numRef>
              <c:f>Hoja1!$F$67:$F$69</c:f>
              <c:numCache>
                <c:formatCode>General</c:formatCode>
                <c:ptCount val="3"/>
                <c:pt idx="0">
                  <c:v>2013.0</c:v>
                </c:pt>
                <c:pt idx="1">
                  <c:v>2016.0</c:v>
                </c:pt>
              </c:numCache>
            </c:numRef>
          </c:cat>
          <c:val>
            <c:numRef>
              <c:f>Hoja1!$H$67:$H$69</c:f>
              <c:numCache>
                <c:formatCode>General</c:formatCode>
                <c:ptCount val="3"/>
              </c:numCache>
            </c:numRef>
          </c:val>
        </c:ser>
        <c:ser>
          <c:idx val="2"/>
          <c:order val="2"/>
          <c:tx>
            <c:strRef>
              <c:f>Hoja1!$I$65:$I$66</c:f>
              <c:strCache>
                <c:ptCount val="1"/>
                <c:pt idx="0">
                  <c:v>moderados</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numRef>
              <c:f>Hoja1!$F$67:$F$69</c:f>
              <c:numCache>
                <c:formatCode>General</c:formatCode>
                <c:ptCount val="3"/>
                <c:pt idx="0">
                  <c:v>2013.0</c:v>
                </c:pt>
                <c:pt idx="1">
                  <c:v>2016.0</c:v>
                </c:pt>
              </c:numCache>
            </c:numRef>
          </c:cat>
          <c:val>
            <c:numRef>
              <c:f>Hoja1!$I$67:$I$69</c:f>
              <c:numCache>
                <c:formatCode>General</c:formatCode>
                <c:ptCount val="3"/>
                <c:pt idx="0">
                  <c:v>22.0</c:v>
                </c:pt>
                <c:pt idx="1">
                  <c:v>22.0</c:v>
                </c:pt>
              </c:numCache>
            </c:numRef>
          </c:val>
        </c:ser>
        <c:dLbls>
          <c:showLegendKey val="0"/>
          <c:showVal val="1"/>
          <c:showCatName val="0"/>
          <c:showSerName val="0"/>
          <c:showPercent val="0"/>
          <c:showBubbleSize val="0"/>
        </c:dLbls>
        <c:gapWidth val="150"/>
        <c:shape val="cylinder"/>
        <c:axId val="-2140072456"/>
        <c:axId val="2129170024"/>
        <c:axId val="0"/>
      </c:bar3DChart>
      <c:catAx>
        <c:axId val="-2140072456"/>
        <c:scaling>
          <c:orientation val="minMax"/>
        </c:scaling>
        <c:delete val="0"/>
        <c:axPos val="b"/>
        <c:numFmt formatCode="General" sourceLinked="1"/>
        <c:majorTickMark val="out"/>
        <c:minorTickMark val="none"/>
        <c:tickLblPos val="nextTo"/>
        <c:txPr>
          <a:bodyPr/>
          <a:lstStyle/>
          <a:p>
            <a:pPr>
              <a:defRPr sz="900"/>
            </a:pPr>
            <a:endParaRPr lang="es-ES"/>
          </a:p>
        </c:txPr>
        <c:crossAx val="2129170024"/>
        <c:crosses val="autoZero"/>
        <c:auto val="1"/>
        <c:lblAlgn val="ctr"/>
        <c:lblOffset val="100"/>
        <c:noMultiLvlLbl val="0"/>
      </c:catAx>
      <c:valAx>
        <c:axId val="2129170024"/>
        <c:scaling>
          <c:orientation val="minMax"/>
        </c:scaling>
        <c:delete val="0"/>
        <c:axPos val="l"/>
        <c:majorGridlines/>
        <c:numFmt formatCode="General" sourceLinked="1"/>
        <c:majorTickMark val="out"/>
        <c:minorTickMark val="none"/>
        <c:tickLblPos val="nextTo"/>
        <c:crossAx val="-2140072456"/>
        <c:crosses val="autoZero"/>
        <c:crossBetween val="between"/>
      </c:valAx>
      <c:spPr>
        <a:solidFill>
          <a:schemeClr val="accent3">
            <a:lumMod val="20000"/>
            <a:lumOff val="80000"/>
          </a:schemeClr>
        </a:solidFill>
      </c:spPr>
    </c:plotArea>
    <c:legend>
      <c:legendPos val="r"/>
      <c:legendEntry>
        <c:idx val="1"/>
        <c:delete val="1"/>
      </c:legendEntry>
      <c:overlay val="0"/>
      <c:txPr>
        <a:bodyPr/>
        <a:lstStyle/>
        <a:p>
          <a:pPr>
            <a:defRPr sz="800" b="1"/>
          </a:pPr>
          <a:endParaRPr lang="es-ES"/>
        </a:p>
      </c:txPr>
    </c:legend>
    <c:plotVisOnly val="1"/>
    <c:dispBlanksAs val="gap"/>
    <c:showDLblsOverMax val="0"/>
  </c:chart>
  <c:spPr>
    <a:solidFill>
      <a:schemeClr val="bg2"/>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000"/>
            </a:pPr>
            <a:r>
              <a:rPr lang="es-ES" sz="1000"/>
              <a:t>Mecanismo de la reforma constitucional</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0706965091685332"/>
          <c:y val="0.190311418685121"/>
          <c:w val="0.909253705812232"/>
          <c:h val="0.594579008073818"/>
        </c:manualLayout>
      </c:layout>
      <c:bar3DChart>
        <c:barDir val="col"/>
        <c:grouping val="standard"/>
        <c:varyColors val="0"/>
        <c:ser>
          <c:idx val="0"/>
          <c:order val="0"/>
          <c:tx>
            <c:strRef>
              <c:f>Hoja1!$G$100</c:f>
              <c:strCache>
                <c:ptCount val="1"/>
              </c:strCache>
            </c:strRef>
          </c:tx>
          <c:invertIfNegative val="0"/>
          <c:cat>
            <c:strRef>
              <c:f>Hoja1!$F$101:$F$104</c:f>
              <c:strCache>
                <c:ptCount val="3"/>
                <c:pt idx="0">
                  <c:v>Asamblea constituyente</c:v>
                </c:pt>
                <c:pt idx="1">
                  <c:v>Convencion constiyuyente</c:v>
                </c:pt>
                <c:pt idx="2">
                  <c:v>Parlamento constituyente</c:v>
                </c:pt>
              </c:strCache>
            </c:strRef>
          </c:cat>
          <c:val>
            <c:numRef>
              <c:f>Hoja1!$G$101:$G$104</c:f>
              <c:numCache>
                <c:formatCode>General</c:formatCode>
                <c:ptCount val="4"/>
              </c:numCache>
            </c:numRef>
          </c:val>
        </c:ser>
        <c:ser>
          <c:idx val="1"/>
          <c:order val="1"/>
          <c:tx>
            <c:strRef>
              <c:f>Hoja1!$H$100</c:f>
              <c:strCache>
                <c:ptCount val="1"/>
              </c:strCache>
            </c:strRef>
          </c:tx>
          <c:invertIfNegative val="0"/>
          <c:dPt>
            <c:idx val="0"/>
            <c:invertIfNegative val="0"/>
            <c:bubble3D val="0"/>
            <c:spPr>
              <a:solidFill>
                <a:srgbClr val="3366FF"/>
              </a:solidFill>
            </c:spPr>
          </c:dPt>
          <c:dPt>
            <c:idx val="1"/>
            <c:invertIfNegative val="0"/>
            <c:bubble3D val="0"/>
            <c:spPr>
              <a:solidFill>
                <a:schemeClr val="accent3">
                  <a:lumMod val="60000"/>
                  <a:lumOff val="40000"/>
                </a:schemeClr>
              </a:solidFill>
            </c:spPr>
          </c:dPt>
          <c:dPt>
            <c:idx val="2"/>
            <c:invertIfNegative val="0"/>
            <c:bubble3D val="0"/>
            <c:spPr>
              <a:solidFill>
                <a:srgbClr val="FFFF00"/>
              </a:solidFill>
            </c:spPr>
          </c:dPt>
          <c:dLbls>
            <c:dLbl>
              <c:idx val="0"/>
              <c:layout>
                <c:manualLayout>
                  <c:x val="0.0105263157894736"/>
                  <c:y val="-0.0277777777777778"/>
                </c:manualLayout>
              </c:layout>
              <c:spPr/>
              <c:txPr>
                <a:bodyPr/>
                <a:lstStyle/>
                <a:p>
                  <a:pPr>
                    <a:defRPr b="1"/>
                  </a:pPr>
                  <a:endParaRPr lang="es-ES"/>
                </a:p>
              </c:txPr>
              <c:showLegendKey val="0"/>
              <c:showVal val="1"/>
              <c:showCatName val="0"/>
              <c:showSerName val="0"/>
              <c:showPercent val="0"/>
              <c:showBubbleSize val="0"/>
            </c:dLbl>
            <c:dLbl>
              <c:idx val="1"/>
              <c:layout>
                <c:manualLayout>
                  <c:x val="0.0168421052631579"/>
                  <c:y val="-0.0277777777777778"/>
                </c:manualLayout>
              </c:layout>
              <c:spPr/>
              <c:txPr>
                <a:bodyPr/>
                <a:lstStyle/>
                <a:p>
                  <a:pPr>
                    <a:defRPr b="1"/>
                  </a:pPr>
                  <a:endParaRPr lang="es-ES"/>
                </a:p>
              </c:txPr>
              <c:showLegendKey val="0"/>
              <c:showVal val="1"/>
              <c:showCatName val="0"/>
              <c:showSerName val="0"/>
              <c:showPercent val="0"/>
              <c:showBubbleSize val="0"/>
            </c:dLbl>
            <c:dLbl>
              <c:idx val="2"/>
              <c:spPr/>
              <c:txPr>
                <a:bodyPr/>
                <a:lstStyle/>
                <a:p>
                  <a:pPr>
                    <a:defRPr b="1"/>
                  </a:pPr>
                  <a:endParaRPr lang="es-ES"/>
                </a:p>
              </c:txPr>
              <c:showLegendKey val="0"/>
              <c:showVal val="1"/>
              <c:showCatName val="0"/>
              <c:showSerName val="0"/>
              <c:showPercent val="0"/>
              <c:showBubbleSize val="0"/>
            </c:dLbl>
            <c:showLegendKey val="0"/>
            <c:showVal val="1"/>
            <c:showCatName val="0"/>
            <c:showSerName val="0"/>
            <c:showPercent val="0"/>
            <c:showBubbleSize val="0"/>
            <c:showLeaderLines val="0"/>
          </c:dLbls>
          <c:cat>
            <c:strRef>
              <c:f>Hoja1!$F$101:$F$104</c:f>
              <c:strCache>
                <c:ptCount val="3"/>
                <c:pt idx="0">
                  <c:v>Asamblea constituyente</c:v>
                </c:pt>
                <c:pt idx="1">
                  <c:v>Convencion constiyuyente</c:v>
                </c:pt>
                <c:pt idx="2">
                  <c:v>Parlamento constituyente</c:v>
                </c:pt>
              </c:strCache>
            </c:strRef>
          </c:cat>
          <c:val>
            <c:numRef>
              <c:f>Hoja1!$H$101:$H$104</c:f>
              <c:numCache>
                <c:formatCode>General</c:formatCode>
                <c:ptCount val="4"/>
                <c:pt idx="0">
                  <c:v>43.0</c:v>
                </c:pt>
                <c:pt idx="1">
                  <c:v>41.0</c:v>
                </c:pt>
                <c:pt idx="2">
                  <c:v>6.0</c:v>
                </c:pt>
              </c:numCache>
            </c:numRef>
          </c:val>
        </c:ser>
        <c:dLbls>
          <c:showLegendKey val="0"/>
          <c:showVal val="1"/>
          <c:showCatName val="0"/>
          <c:showSerName val="0"/>
          <c:showPercent val="0"/>
          <c:showBubbleSize val="0"/>
        </c:dLbls>
        <c:gapWidth val="150"/>
        <c:shape val="cylinder"/>
        <c:axId val="-2142203816"/>
        <c:axId val="-2139476584"/>
        <c:axId val="2123198264"/>
      </c:bar3DChart>
      <c:catAx>
        <c:axId val="-2142203816"/>
        <c:scaling>
          <c:orientation val="minMax"/>
        </c:scaling>
        <c:delete val="0"/>
        <c:axPos val="b"/>
        <c:majorTickMark val="out"/>
        <c:minorTickMark val="none"/>
        <c:tickLblPos val="nextTo"/>
        <c:txPr>
          <a:bodyPr/>
          <a:lstStyle/>
          <a:p>
            <a:pPr>
              <a:defRPr sz="900" b="0"/>
            </a:pPr>
            <a:endParaRPr lang="es-ES"/>
          </a:p>
        </c:txPr>
        <c:crossAx val="-2139476584"/>
        <c:crosses val="autoZero"/>
        <c:auto val="1"/>
        <c:lblAlgn val="ctr"/>
        <c:lblOffset val="100"/>
        <c:noMultiLvlLbl val="0"/>
      </c:catAx>
      <c:valAx>
        <c:axId val="-2139476584"/>
        <c:scaling>
          <c:orientation val="minMax"/>
        </c:scaling>
        <c:delete val="0"/>
        <c:axPos val="l"/>
        <c:majorGridlines/>
        <c:numFmt formatCode="General" sourceLinked="1"/>
        <c:majorTickMark val="out"/>
        <c:minorTickMark val="none"/>
        <c:tickLblPos val="nextTo"/>
        <c:crossAx val="-2142203816"/>
        <c:crosses val="autoZero"/>
        <c:crossBetween val="between"/>
      </c:valAx>
      <c:serAx>
        <c:axId val="2123198264"/>
        <c:scaling>
          <c:orientation val="minMax"/>
        </c:scaling>
        <c:delete val="0"/>
        <c:axPos val="b"/>
        <c:majorTickMark val="out"/>
        <c:minorTickMark val="none"/>
        <c:tickLblPos val="nextTo"/>
        <c:crossAx val="-2139476584"/>
        <c:crosses val="autoZero"/>
      </c:serAx>
      <c:spPr>
        <a:solidFill>
          <a:schemeClr val="accent3">
            <a:lumMod val="20000"/>
            <a:lumOff val="80000"/>
          </a:schemeClr>
        </a:solidFill>
      </c:spPr>
    </c:plotArea>
    <c:plotVisOnly val="1"/>
    <c:dispBlanksAs val="gap"/>
    <c:showDLblsOverMax val="0"/>
  </c:chart>
  <c:spPr>
    <a:solidFill>
      <a:schemeClr val="bg2"/>
    </a:solidFill>
    <a:ln>
      <a:solidFill>
        <a:srgbClr val="FFFFFF"/>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8008</Characters>
  <Application>Microsoft Macintosh Word</Application>
  <DocSecurity>0</DocSecurity>
  <Lines>66</Lines>
  <Paragraphs>18</Paragraphs>
  <ScaleCrop>false</ScaleCrop>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2017-10-03T18:51:00Z</dcterms:created>
  <dcterms:modified xsi:type="dcterms:W3CDTF">2017-10-03T18:51:00Z</dcterms:modified>
</cp:coreProperties>
</file>