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EB8" w:rsidRPr="00E82EB8" w:rsidRDefault="00E82EB8" w:rsidP="00E82EB8">
      <w:pPr>
        <w:spacing w:after="0" w:line="360" w:lineRule="auto"/>
        <w:jc w:val="center"/>
        <w:rPr>
          <w:rFonts w:ascii="Garamond" w:eastAsia="Calibri" w:hAnsi="Garamond" w:cs="Times New Roman"/>
          <w:b/>
          <w:smallCaps/>
          <w:sz w:val="24"/>
        </w:rPr>
      </w:pPr>
      <w:r w:rsidRPr="00E82EB8">
        <w:rPr>
          <w:rFonts w:ascii="Garamond" w:eastAsia="Calibri" w:hAnsi="Garamond" w:cs="Times New Roman"/>
          <w:b/>
          <w:smallCaps/>
          <w:sz w:val="24"/>
        </w:rPr>
        <w:t xml:space="preserve">Proyecto de ley que </w:t>
      </w:r>
      <w:r>
        <w:rPr>
          <w:rFonts w:ascii="Garamond" w:eastAsia="Calibri" w:hAnsi="Garamond" w:cs="Times New Roman"/>
          <w:b/>
          <w:smallCaps/>
          <w:sz w:val="24"/>
        </w:rPr>
        <w:t>tipifica el delito de violación de secreto</w:t>
      </w:r>
    </w:p>
    <w:p w:rsidR="00E82EB8" w:rsidRPr="00E82EB8" w:rsidRDefault="00E82EB8" w:rsidP="00E82EB8">
      <w:pPr>
        <w:spacing w:after="0" w:line="360" w:lineRule="auto"/>
        <w:jc w:val="center"/>
        <w:rPr>
          <w:rFonts w:ascii="Garamond" w:eastAsia="Calibri" w:hAnsi="Garamond" w:cs="Times New Roman"/>
          <w:b/>
          <w:smallCaps/>
          <w:sz w:val="24"/>
        </w:rPr>
      </w:pPr>
    </w:p>
    <w:p w:rsidR="00E82EB8" w:rsidRPr="00E82EB8" w:rsidRDefault="00E82EB8" w:rsidP="00E82EB8">
      <w:pPr>
        <w:numPr>
          <w:ilvl w:val="0"/>
          <w:numId w:val="2"/>
        </w:numPr>
        <w:spacing w:after="0" w:line="360" w:lineRule="auto"/>
        <w:contextualSpacing/>
        <w:jc w:val="both"/>
        <w:rPr>
          <w:rFonts w:ascii="Garamond" w:eastAsia="Calibri" w:hAnsi="Garamond" w:cs="Times New Roman"/>
          <w:b/>
          <w:sz w:val="24"/>
          <w:u w:val="single"/>
          <w:lang w:val="es-ES"/>
        </w:rPr>
      </w:pPr>
      <w:r w:rsidRPr="00E82EB8">
        <w:rPr>
          <w:rFonts w:ascii="Garamond" w:eastAsia="Calibri" w:hAnsi="Garamond" w:cs="Times New Roman"/>
          <w:b/>
          <w:sz w:val="24"/>
          <w:u w:val="single"/>
          <w:lang w:val="es-ES"/>
        </w:rPr>
        <w:t>ANTECEDENTES</w:t>
      </w:r>
    </w:p>
    <w:p w:rsidR="00E82EB8" w:rsidRPr="00E82EB8" w:rsidRDefault="00E82EB8" w:rsidP="00E82EB8">
      <w:pPr>
        <w:spacing w:after="0" w:line="360" w:lineRule="auto"/>
        <w:ind w:left="1080"/>
        <w:contextualSpacing/>
        <w:jc w:val="both"/>
        <w:rPr>
          <w:rFonts w:ascii="Garamond" w:eastAsia="Calibri" w:hAnsi="Garamond" w:cs="Times New Roman"/>
          <w:b/>
          <w:sz w:val="24"/>
          <w:u w:val="single"/>
          <w:lang w:val="es-ES"/>
        </w:rPr>
      </w:pPr>
    </w:p>
    <w:p w:rsidR="00E82EB8" w:rsidRPr="00E82EB8" w:rsidRDefault="00E82EB8" w:rsidP="00E82EB8">
      <w:pPr>
        <w:spacing w:after="0" w:line="360" w:lineRule="auto"/>
        <w:jc w:val="both"/>
        <w:rPr>
          <w:rFonts w:ascii="Garamond" w:eastAsia="Calibri" w:hAnsi="Garamond" w:cs="Times New Roman"/>
          <w:sz w:val="24"/>
          <w:lang w:val="es-ES"/>
        </w:rPr>
      </w:pPr>
      <w:r w:rsidRPr="00E82EB8">
        <w:rPr>
          <w:rFonts w:ascii="Garamond" w:eastAsia="Calibri" w:hAnsi="Garamond" w:cs="Times New Roman"/>
          <w:sz w:val="24"/>
          <w:lang w:val="es-ES"/>
        </w:rPr>
        <w:t>Como primera aproximación, debe tenerse en cuenta lo establecido por el artículo 182 del Código Procesal Penal.</w:t>
      </w:r>
      <w:r>
        <w:rPr>
          <w:rFonts w:ascii="Garamond" w:eastAsia="Calibri" w:hAnsi="Garamond" w:cs="Times New Roman"/>
          <w:sz w:val="24"/>
          <w:lang w:val="es-ES"/>
        </w:rPr>
        <w:t xml:space="preserve"> </w:t>
      </w:r>
      <w:r w:rsidRPr="00E82EB8">
        <w:rPr>
          <w:rFonts w:ascii="Garamond" w:eastAsia="Calibri" w:hAnsi="Garamond" w:cs="Times New Roman"/>
          <w:sz w:val="24"/>
          <w:lang w:val="es-ES"/>
        </w:rPr>
        <w:t>Dicho texto señala:</w:t>
      </w:r>
    </w:p>
    <w:p w:rsidR="00E82EB8" w:rsidRPr="00E82EB8" w:rsidRDefault="00E82EB8" w:rsidP="00E82EB8">
      <w:pPr>
        <w:spacing w:after="0" w:line="360" w:lineRule="auto"/>
        <w:jc w:val="both"/>
        <w:rPr>
          <w:rFonts w:ascii="Garamond" w:eastAsia="Calibri" w:hAnsi="Garamond" w:cs="Times New Roman"/>
          <w:sz w:val="24"/>
          <w:lang w:val="es-ES"/>
        </w:rPr>
      </w:pPr>
      <w:r w:rsidRPr="00E82EB8">
        <w:rPr>
          <w:rFonts w:ascii="Garamond" w:eastAsia="Calibri" w:hAnsi="Garamond" w:cs="Times New Roman"/>
          <w:sz w:val="24"/>
          <w:lang w:val="es-ES"/>
        </w:rPr>
        <w:t>Artículo 182.- Secreto de las actuaciones de investigación. Las actuaciones de investigación realizadas por el ministerio público y por la policía serán secretas para los terceros ajenos al procedimiento.</w:t>
      </w:r>
    </w:p>
    <w:p w:rsidR="00E82EB8" w:rsidRPr="00E82EB8" w:rsidRDefault="00E82EB8" w:rsidP="00E82EB8">
      <w:pPr>
        <w:spacing w:after="0" w:line="360" w:lineRule="auto"/>
        <w:jc w:val="both"/>
        <w:rPr>
          <w:rFonts w:ascii="Garamond" w:eastAsia="Calibri" w:hAnsi="Garamond" w:cs="Times New Roman"/>
          <w:sz w:val="24"/>
          <w:lang w:val="es-ES"/>
        </w:rPr>
      </w:pPr>
      <w:r w:rsidRPr="00E82EB8">
        <w:rPr>
          <w:rFonts w:ascii="Garamond" w:eastAsia="Calibri" w:hAnsi="Garamond" w:cs="Times New Roman"/>
          <w:sz w:val="24"/>
          <w:lang w:val="es-ES"/>
        </w:rPr>
        <w:t>El imputado y los demás intervinientes en el procedimiento podrán examinar y obtener copias, a su cargo, de los registros y documentos de la investigación fiscal y podrán examinar los de la investigación policial.</w:t>
      </w:r>
    </w:p>
    <w:p w:rsidR="00E82EB8" w:rsidRPr="00E82EB8" w:rsidRDefault="00E82EB8" w:rsidP="00E82EB8">
      <w:pPr>
        <w:spacing w:after="0" w:line="360" w:lineRule="auto"/>
        <w:jc w:val="both"/>
        <w:rPr>
          <w:rFonts w:ascii="Garamond" w:eastAsia="Calibri" w:hAnsi="Garamond" w:cs="Times New Roman"/>
          <w:sz w:val="24"/>
          <w:lang w:val="es-ES"/>
        </w:rPr>
      </w:pPr>
      <w:r w:rsidRPr="00E82EB8">
        <w:rPr>
          <w:rFonts w:ascii="Garamond" w:eastAsia="Calibri" w:hAnsi="Garamond" w:cs="Times New Roman"/>
          <w:sz w:val="24"/>
          <w:lang w:val="es-ES"/>
        </w:rPr>
        <w:t>El fiscal podrá disponer que determinadas actuaciones, registros o documentos sean mantenidas en secreto respecto del imputado o de los demás intervinientes, cuando lo considerare necesario para la eficacia de la investigación. En tal caso deberá identificar las piezas o actuaciones respectivas, de modo que no se vulnere la reserva y fijar un plazo no superior a cuarenta días para la mantención del secreto, el cual podrá ser ampliado por el mismo período, por una sola vez, con motivos fundados. Esta ampliación no será oponible ni al imputado ni a su defensa.</w:t>
      </w:r>
    </w:p>
    <w:p w:rsidR="00E82EB8" w:rsidRPr="00E82EB8" w:rsidRDefault="00E82EB8" w:rsidP="00E82EB8">
      <w:pPr>
        <w:spacing w:after="0" w:line="360" w:lineRule="auto"/>
        <w:jc w:val="both"/>
        <w:rPr>
          <w:rFonts w:ascii="Garamond" w:eastAsia="Calibri" w:hAnsi="Garamond" w:cs="Times New Roman"/>
          <w:sz w:val="24"/>
          <w:lang w:val="es-ES"/>
        </w:rPr>
      </w:pPr>
      <w:r w:rsidRPr="00E82EB8">
        <w:rPr>
          <w:rFonts w:ascii="Garamond" w:eastAsia="Calibri" w:hAnsi="Garamond" w:cs="Times New Roman"/>
          <w:sz w:val="24"/>
          <w:lang w:val="es-ES"/>
        </w:rPr>
        <w:t>El imputado o cualquier otro interviniente podrá solicitar del juez de garantía que ponga término al secreto o que lo limite, en cuanto a su duración, a las piezas o actuaciones abarcadas por él, o a las personas a quienes afectare.</w:t>
      </w:r>
    </w:p>
    <w:p w:rsidR="00E82EB8" w:rsidRPr="00E82EB8" w:rsidRDefault="00E82EB8" w:rsidP="00E82EB8">
      <w:pPr>
        <w:spacing w:after="0" w:line="360" w:lineRule="auto"/>
        <w:jc w:val="both"/>
        <w:rPr>
          <w:rFonts w:ascii="Garamond" w:eastAsia="Calibri" w:hAnsi="Garamond" w:cs="Times New Roman"/>
          <w:sz w:val="24"/>
          <w:lang w:val="es-ES"/>
        </w:rPr>
      </w:pPr>
      <w:r w:rsidRPr="00E82EB8">
        <w:rPr>
          <w:rFonts w:ascii="Garamond" w:eastAsia="Calibri" w:hAnsi="Garamond" w:cs="Times New Roman"/>
          <w:sz w:val="24"/>
          <w:lang w:val="es-ES"/>
        </w:rPr>
        <w:t>Sin perjuicio de lo dispuesto en los incisos anteriores, no se podrá decretar el secreto sobre la declaración del imputado o cualquier otra actuación en que hubiere intervenido o tenido derecho a intervenir, las actuaciones en las que participare el tribunal, ni los informes evacuados por peritos, respecto del propio imputado o de su defensor.</w:t>
      </w:r>
    </w:p>
    <w:p w:rsidR="00E82EB8" w:rsidRDefault="00E82EB8" w:rsidP="00E82EB8">
      <w:pPr>
        <w:spacing w:after="0" w:line="360" w:lineRule="auto"/>
        <w:jc w:val="both"/>
        <w:rPr>
          <w:rFonts w:ascii="Garamond" w:eastAsia="Calibri" w:hAnsi="Garamond" w:cs="Times New Roman"/>
          <w:b/>
          <w:i/>
          <w:sz w:val="24"/>
          <w:lang w:val="es-ES"/>
        </w:rPr>
      </w:pPr>
      <w:r w:rsidRPr="00E82EB8">
        <w:rPr>
          <w:rFonts w:ascii="Garamond" w:eastAsia="Calibri" w:hAnsi="Garamond" w:cs="Times New Roman"/>
          <w:b/>
          <w:i/>
          <w:sz w:val="24"/>
          <w:lang w:val="es-ES"/>
        </w:rPr>
        <w:t>Los funcionarios que hubieren participado en la investigación y las demás personas que, por cualquier motivo, tuvieren conocimiento de las actuaciones de la investigación estarán obligados a guardar secreto respecto de ellas.</w:t>
      </w:r>
    </w:p>
    <w:p w:rsidR="00E82EB8" w:rsidRPr="00E82EB8" w:rsidRDefault="00E82EB8" w:rsidP="00E82EB8">
      <w:pPr>
        <w:spacing w:after="0" w:line="360" w:lineRule="auto"/>
        <w:jc w:val="both"/>
        <w:rPr>
          <w:rFonts w:ascii="Garamond" w:eastAsia="Calibri" w:hAnsi="Garamond" w:cs="Times New Roman"/>
          <w:sz w:val="24"/>
          <w:lang w:val="es-ES"/>
        </w:rPr>
      </w:pPr>
      <w:r w:rsidRPr="00E82EB8">
        <w:rPr>
          <w:rFonts w:ascii="Garamond" w:eastAsia="Calibri" w:hAnsi="Garamond" w:cs="Times New Roman"/>
          <w:sz w:val="24"/>
          <w:lang w:val="es-ES"/>
        </w:rPr>
        <w:t xml:space="preserve">Por su parte, </w:t>
      </w:r>
      <w:r>
        <w:rPr>
          <w:rFonts w:ascii="Garamond" w:eastAsia="Calibri" w:hAnsi="Garamond" w:cs="Times New Roman"/>
          <w:sz w:val="24"/>
          <w:lang w:val="es-ES"/>
        </w:rPr>
        <w:t>e</w:t>
      </w:r>
      <w:r w:rsidRPr="00E82EB8">
        <w:rPr>
          <w:rFonts w:ascii="Garamond" w:eastAsia="Calibri" w:hAnsi="Garamond" w:cs="Times New Roman"/>
          <w:sz w:val="24"/>
          <w:lang w:val="es-ES"/>
        </w:rPr>
        <w:t xml:space="preserve">l Código Penal, en sus artículos 246 y </w:t>
      </w:r>
      <w:r w:rsidR="00D35FAA" w:rsidRPr="00E82EB8">
        <w:rPr>
          <w:rFonts w:ascii="Garamond" w:eastAsia="Calibri" w:hAnsi="Garamond" w:cs="Times New Roman"/>
          <w:sz w:val="24"/>
          <w:lang w:val="es-ES"/>
        </w:rPr>
        <w:t>247, sanciona</w:t>
      </w:r>
      <w:r w:rsidRPr="00E82EB8">
        <w:rPr>
          <w:rFonts w:ascii="Garamond" w:eastAsia="Calibri" w:hAnsi="Garamond" w:cs="Times New Roman"/>
          <w:sz w:val="24"/>
          <w:lang w:val="es-ES"/>
        </w:rPr>
        <w:t xml:space="preserve"> al “empleado público que revelare los secretos de que tenga conocimiento por razón de su oficio o entregare indebidamente papeles o copia de papeles que tenga a su cargo y no deban ser publicados”. </w:t>
      </w:r>
    </w:p>
    <w:p w:rsidR="00E82EB8" w:rsidRDefault="00E82EB8" w:rsidP="00E82EB8">
      <w:pPr>
        <w:spacing w:after="0" w:line="360" w:lineRule="auto"/>
        <w:jc w:val="both"/>
        <w:rPr>
          <w:rFonts w:ascii="Garamond" w:eastAsia="Calibri" w:hAnsi="Garamond" w:cs="Times New Roman"/>
          <w:sz w:val="24"/>
          <w:lang w:val="es-ES"/>
        </w:rPr>
      </w:pPr>
      <w:r w:rsidRPr="00E82EB8">
        <w:rPr>
          <w:rFonts w:ascii="Garamond" w:eastAsia="Calibri" w:hAnsi="Garamond" w:cs="Times New Roman"/>
          <w:sz w:val="24"/>
          <w:lang w:val="es-ES"/>
        </w:rPr>
        <w:lastRenderedPageBreak/>
        <w:t>Este tipo de hechos, según estipula la ley, no sólo contemplan sanciones como suspender de su cargo al trabajador implicado. También se puede traducir en penas de cárcel “si de la revelación o entrega resultare grave daño para la causa pública”. En este caso, las sanciones pueden ir desde los cinco años y un día hasta los 20 años</w:t>
      </w:r>
      <w:r>
        <w:rPr>
          <w:rFonts w:ascii="Garamond" w:eastAsia="Calibri" w:hAnsi="Garamond" w:cs="Times New Roman"/>
          <w:sz w:val="24"/>
          <w:lang w:val="es-ES"/>
        </w:rPr>
        <w:t>.</w:t>
      </w:r>
    </w:p>
    <w:p w:rsidR="00E82EB8" w:rsidRDefault="00E82EB8" w:rsidP="00E82EB8">
      <w:pPr>
        <w:spacing w:after="0" w:line="360" w:lineRule="auto"/>
        <w:jc w:val="both"/>
        <w:rPr>
          <w:rFonts w:ascii="Garamond" w:eastAsia="Calibri" w:hAnsi="Garamond" w:cs="Times New Roman"/>
          <w:sz w:val="24"/>
          <w:lang w:val="es-ES"/>
        </w:rPr>
      </w:pPr>
      <w:r>
        <w:rPr>
          <w:rFonts w:ascii="Garamond" w:eastAsia="Calibri" w:hAnsi="Garamond" w:cs="Times New Roman"/>
          <w:sz w:val="24"/>
          <w:lang w:val="es-ES"/>
        </w:rPr>
        <w:t>Del análisis de las disposiciones citadas, puede evidenciarse un problema a la hora de sancionar la filtración de información efectuada por personas naturales que, si bien no detentan la calidad de funcionario público, acceden a información reservada en razón- por ejemplo- de su rol en un juicio o proceso penal.</w:t>
      </w:r>
    </w:p>
    <w:p w:rsidR="00E82EB8" w:rsidRDefault="00E82EB8" w:rsidP="00E82EB8">
      <w:pPr>
        <w:spacing w:after="0" w:line="360" w:lineRule="auto"/>
        <w:jc w:val="both"/>
        <w:rPr>
          <w:rFonts w:ascii="Garamond" w:eastAsia="Calibri" w:hAnsi="Garamond" w:cs="Times New Roman"/>
          <w:sz w:val="24"/>
          <w:lang w:val="es-ES_tradnl"/>
        </w:rPr>
      </w:pPr>
      <w:r w:rsidRPr="00E82EB8">
        <w:rPr>
          <w:rFonts w:ascii="Garamond" w:eastAsia="Calibri" w:hAnsi="Garamond" w:cs="Times New Roman"/>
          <w:sz w:val="24"/>
          <w:lang w:val="es-ES_tradnl"/>
        </w:rPr>
        <w:t xml:space="preserve">El proyecto de ley  que </w:t>
      </w:r>
      <w:r w:rsidRPr="00E82EB8">
        <w:rPr>
          <w:rFonts w:ascii="Garamond" w:eastAsia="Calibri" w:hAnsi="Garamond" w:cs="Times New Roman"/>
          <w:sz w:val="24"/>
        </w:rPr>
        <w:t>facilita la aplicación efectiva de las penas establecidas para los delitos de robo, hurto y receptación y mejora la persecución penal en dichos delitos (“Agenda corta 2”, boletín 9885-07), que dio como resultado la publicación de la ley N° 20.931, publicada en el diario oficial el 05 de julio de 2016</w:t>
      </w:r>
      <w:r>
        <w:rPr>
          <w:rFonts w:ascii="Garamond" w:eastAsia="Calibri" w:hAnsi="Garamond" w:cs="Times New Roman"/>
          <w:sz w:val="24"/>
        </w:rPr>
        <w:t xml:space="preserve">, fue la instancia legislativa en que se evidenció </w:t>
      </w:r>
      <w:r w:rsidRPr="00E82EB8">
        <w:rPr>
          <w:rFonts w:ascii="Garamond" w:eastAsia="Calibri" w:hAnsi="Garamond" w:cs="Times New Roman"/>
          <w:sz w:val="24"/>
          <w:lang w:val="es-ES_tradnl"/>
        </w:rPr>
        <w:t>la necesidad de tipificación autónoma de conductas dirigidas a no cumplir con la obligación de guardar secreto de la información a la que se acceda, en el marco de una investigación penal de carácter secreta</w:t>
      </w:r>
      <w:r>
        <w:rPr>
          <w:rFonts w:ascii="Garamond" w:eastAsia="Calibri" w:hAnsi="Garamond" w:cs="Times New Roman"/>
          <w:sz w:val="24"/>
          <w:lang w:val="es-ES_tradnl"/>
        </w:rPr>
        <w:t>.</w:t>
      </w:r>
    </w:p>
    <w:p w:rsidR="00D35FAA" w:rsidRDefault="00D35FAA" w:rsidP="00D35FAA">
      <w:pPr>
        <w:spacing w:after="0" w:line="360" w:lineRule="auto"/>
        <w:jc w:val="both"/>
        <w:rPr>
          <w:rFonts w:ascii="Garamond" w:eastAsia="Calibri" w:hAnsi="Garamond" w:cs="Times New Roman"/>
          <w:sz w:val="24"/>
        </w:rPr>
      </w:pPr>
      <w:r>
        <w:rPr>
          <w:rFonts w:ascii="Garamond" w:eastAsia="Calibri" w:hAnsi="Garamond" w:cs="Times New Roman"/>
          <w:sz w:val="24"/>
          <w:lang w:val="es-ES"/>
        </w:rPr>
        <w:t xml:space="preserve">En el mismo sentido se manifestó, en su minuto, </w:t>
      </w:r>
      <w:r w:rsidRPr="00D35FAA">
        <w:rPr>
          <w:rFonts w:ascii="Garamond" w:eastAsia="Calibri" w:hAnsi="Garamond" w:cs="Times New Roman"/>
          <w:b/>
          <w:sz w:val="24"/>
        </w:rPr>
        <w:t>el señor Fiscal Nacional (S) Montes</w:t>
      </w:r>
      <w:r>
        <w:rPr>
          <w:rFonts w:ascii="Garamond" w:eastAsia="Calibri" w:hAnsi="Garamond" w:cs="Times New Roman"/>
          <w:b/>
          <w:sz w:val="24"/>
        </w:rPr>
        <w:t xml:space="preserve"> </w:t>
      </w:r>
      <w:r w:rsidRPr="00D35FAA">
        <w:rPr>
          <w:rFonts w:ascii="Garamond" w:eastAsia="Calibri" w:hAnsi="Garamond" w:cs="Times New Roman"/>
          <w:sz w:val="24"/>
        </w:rPr>
        <w:t>quien indicó, en el seno del debate ante la Comisión de Constitución, Legislación, Justicia y Reglamento</w:t>
      </w:r>
      <w:r>
        <w:rPr>
          <w:rFonts w:ascii="Garamond" w:eastAsia="Calibri" w:hAnsi="Garamond" w:cs="Times New Roman"/>
          <w:b/>
          <w:sz w:val="24"/>
        </w:rPr>
        <w:t>,</w:t>
      </w:r>
      <w:r w:rsidRPr="00D35FAA">
        <w:rPr>
          <w:rFonts w:ascii="Garamond" w:eastAsia="Calibri" w:hAnsi="Garamond" w:cs="Times New Roman"/>
          <w:sz w:val="24"/>
        </w:rPr>
        <w:t xml:space="preserve"> que </w:t>
      </w:r>
      <w:r>
        <w:rPr>
          <w:rFonts w:ascii="Garamond" w:eastAsia="Calibri" w:hAnsi="Garamond" w:cs="Times New Roman"/>
          <w:sz w:val="24"/>
        </w:rPr>
        <w:t>“</w:t>
      </w:r>
      <w:r w:rsidRPr="00D35FAA">
        <w:rPr>
          <w:rFonts w:ascii="Garamond" w:eastAsia="Calibri" w:hAnsi="Garamond" w:cs="Times New Roman"/>
          <w:b/>
          <w:i/>
          <w:sz w:val="24"/>
        </w:rPr>
        <w:t>muchas filtraciones de la carpeta investigativa son realizadas por personal ajeno al Ministerio Público</w:t>
      </w:r>
      <w:r w:rsidRPr="00D35FAA">
        <w:rPr>
          <w:rFonts w:ascii="Garamond" w:eastAsia="Calibri" w:hAnsi="Garamond" w:cs="Times New Roman"/>
          <w:sz w:val="24"/>
        </w:rPr>
        <w:t xml:space="preserve">, pues una vez que concluye el plazo en que la investigación es reservada, todos los intervinientes tienen acceso a esa información. </w:t>
      </w:r>
    </w:p>
    <w:p w:rsidR="00D35FAA" w:rsidRPr="00D35FAA" w:rsidRDefault="00D35FAA" w:rsidP="00D35FAA">
      <w:pPr>
        <w:spacing w:after="0" w:line="360" w:lineRule="auto"/>
        <w:jc w:val="both"/>
        <w:rPr>
          <w:rFonts w:ascii="Garamond" w:eastAsia="Calibri" w:hAnsi="Garamond" w:cs="Times New Roman"/>
          <w:sz w:val="24"/>
        </w:rPr>
      </w:pPr>
      <w:r w:rsidRPr="00D35FAA">
        <w:rPr>
          <w:rFonts w:ascii="Garamond" w:eastAsia="Calibri" w:hAnsi="Garamond" w:cs="Times New Roman"/>
          <w:sz w:val="24"/>
        </w:rPr>
        <w:t>Debido a lo anterior, la primera cuestión que se planteó fue la posibilidad de ampliar el plazo a de 40 días que la ley permitía a efectos de que el Ministerio Público reserve la investigación, ampliación que no debe ser oponible al imputado y su defensa por razones obvias</w:t>
      </w:r>
      <w:r>
        <w:rPr>
          <w:rFonts w:ascii="Garamond" w:eastAsia="Calibri" w:hAnsi="Garamond" w:cs="Times New Roman"/>
          <w:sz w:val="24"/>
        </w:rPr>
        <w:t>”</w:t>
      </w:r>
      <w:r w:rsidRPr="00D35FAA">
        <w:rPr>
          <w:rFonts w:ascii="Garamond" w:eastAsia="Calibri" w:hAnsi="Garamond" w:cs="Times New Roman"/>
          <w:sz w:val="24"/>
        </w:rPr>
        <w:t>.</w:t>
      </w:r>
    </w:p>
    <w:p w:rsidR="00D35FAA" w:rsidRPr="00D35FAA" w:rsidRDefault="00D35FAA" w:rsidP="00D35FAA">
      <w:pPr>
        <w:spacing w:after="0" w:line="360" w:lineRule="auto"/>
        <w:jc w:val="both"/>
        <w:rPr>
          <w:rFonts w:ascii="Garamond" w:eastAsia="Calibri" w:hAnsi="Garamond" w:cs="Times New Roman"/>
          <w:sz w:val="24"/>
        </w:rPr>
      </w:pPr>
      <w:r w:rsidRPr="00D35FAA">
        <w:rPr>
          <w:rFonts w:ascii="Garamond" w:eastAsia="Calibri" w:hAnsi="Garamond" w:cs="Times New Roman"/>
          <w:sz w:val="24"/>
        </w:rPr>
        <w:t xml:space="preserve">En segundo término, manifestó que </w:t>
      </w:r>
      <w:r>
        <w:rPr>
          <w:rFonts w:ascii="Garamond" w:eastAsia="Calibri" w:hAnsi="Garamond" w:cs="Times New Roman"/>
          <w:sz w:val="24"/>
        </w:rPr>
        <w:t>“</w:t>
      </w:r>
      <w:r w:rsidRPr="00D35FAA">
        <w:rPr>
          <w:rFonts w:ascii="Garamond" w:eastAsia="Calibri" w:hAnsi="Garamond" w:cs="Times New Roman"/>
          <w:sz w:val="24"/>
        </w:rPr>
        <w:t>debía sancionarse en forma más contundente a los intervinientes, pues la regla actual sólo hace una remisión confusa a las reglas del desacato. Para lograr ese objetivo, propuso crear un tipo penal especial, que sancione esta divulgación indebida con presidio menor en sus grados mínimo a medio</w:t>
      </w:r>
      <w:r>
        <w:rPr>
          <w:rFonts w:ascii="Garamond" w:eastAsia="Calibri" w:hAnsi="Garamond" w:cs="Times New Roman"/>
          <w:sz w:val="24"/>
        </w:rPr>
        <w:t>”</w:t>
      </w:r>
      <w:r w:rsidRPr="00D35FAA">
        <w:rPr>
          <w:rFonts w:ascii="Garamond" w:eastAsia="Calibri" w:hAnsi="Garamond" w:cs="Times New Roman"/>
          <w:sz w:val="24"/>
        </w:rPr>
        <w:t>.</w:t>
      </w:r>
    </w:p>
    <w:p w:rsidR="00D35FAA" w:rsidRPr="00D35FAA" w:rsidRDefault="00D35FAA" w:rsidP="00D35FAA">
      <w:pPr>
        <w:spacing w:after="0" w:line="360" w:lineRule="auto"/>
        <w:jc w:val="both"/>
        <w:rPr>
          <w:rFonts w:ascii="Garamond" w:eastAsia="Calibri" w:hAnsi="Garamond" w:cs="Times New Roman"/>
          <w:sz w:val="24"/>
          <w:lang w:val="es-ES"/>
        </w:rPr>
      </w:pPr>
      <w:r>
        <w:rPr>
          <w:rFonts w:ascii="Garamond" w:eastAsia="Calibri" w:hAnsi="Garamond" w:cs="Times New Roman"/>
          <w:sz w:val="24"/>
          <w:lang w:val="es-ES"/>
        </w:rPr>
        <w:t>La observación no solo fue secundada en su minuto por la mayoría de los senadores integrantes de la Comisión, sino que fue finalmente recogida por el Ejecutivo, materializando el planteamiento mediante la presentación posterior de indicaciones dirigidas a concretar lo señalado, agregando al actual artículo 182 del Código Procesal Penal,</w:t>
      </w:r>
      <w:r w:rsidRPr="00D35FAA">
        <w:rPr>
          <w:rFonts w:ascii="Garamond" w:eastAsia="Calibri" w:hAnsi="Garamond" w:cs="Times New Roman"/>
          <w:sz w:val="24"/>
          <w:lang w:val="es-ES"/>
        </w:rPr>
        <w:t xml:space="preserve"> el siguiente inciso séptimo, nuevo:</w:t>
      </w:r>
    </w:p>
    <w:p w:rsidR="00D35FAA" w:rsidRPr="00D35FAA" w:rsidRDefault="00D35FAA" w:rsidP="00D35FAA">
      <w:pPr>
        <w:spacing w:after="0" w:line="360" w:lineRule="auto"/>
        <w:jc w:val="both"/>
        <w:rPr>
          <w:rFonts w:ascii="Garamond" w:eastAsia="Calibri" w:hAnsi="Garamond" w:cs="Times New Roman"/>
          <w:sz w:val="24"/>
          <w:lang w:val="es-ES"/>
        </w:rPr>
      </w:pPr>
    </w:p>
    <w:p w:rsidR="00E82EB8" w:rsidRDefault="00D35FAA" w:rsidP="00D35FAA">
      <w:pPr>
        <w:spacing w:after="0" w:line="360" w:lineRule="auto"/>
        <w:jc w:val="both"/>
        <w:rPr>
          <w:rFonts w:ascii="Garamond" w:eastAsia="Calibri" w:hAnsi="Garamond" w:cs="Times New Roman"/>
          <w:sz w:val="24"/>
          <w:lang w:val="es-ES"/>
        </w:rPr>
      </w:pPr>
      <w:r w:rsidRPr="00D35FAA">
        <w:rPr>
          <w:rFonts w:ascii="Garamond" w:eastAsia="Calibri" w:hAnsi="Garamond" w:cs="Times New Roman"/>
          <w:sz w:val="24"/>
          <w:lang w:val="es-ES"/>
        </w:rPr>
        <w:t>“El que violare las normas sobre secreto establecidas en el presente artículo, será sancionado con la pena de presidio menor en su grado mínimo a medio</w:t>
      </w:r>
      <w:r>
        <w:rPr>
          <w:rFonts w:ascii="Garamond" w:eastAsia="Calibri" w:hAnsi="Garamond" w:cs="Times New Roman"/>
          <w:sz w:val="24"/>
          <w:lang w:val="es-ES"/>
        </w:rPr>
        <w:t>”</w:t>
      </w:r>
    </w:p>
    <w:p w:rsidR="001112BA" w:rsidRPr="001112BA" w:rsidRDefault="001112BA" w:rsidP="001112BA">
      <w:pPr>
        <w:spacing w:after="0" w:line="360" w:lineRule="auto"/>
        <w:jc w:val="both"/>
        <w:rPr>
          <w:rFonts w:ascii="Garamond" w:eastAsia="Calibri" w:hAnsi="Garamond" w:cs="Times New Roman"/>
          <w:b/>
          <w:sz w:val="24"/>
          <w:u w:val="single"/>
        </w:rPr>
      </w:pPr>
      <w:r w:rsidRPr="001112BA">
        <w:rPr>
          <w:rFonts w:ascii="Garamond" w:eastAsia="Calibri" w:hAnsi="Garamond" w:cs="Times New Roman"/>
          <w:sz w:val="24"/>
        </w:rPr>
        <w:t>Evacuado el texto de la Comisión de Constitución, con las nuevas disposiciones previamente descritas, fue el turno de la Sala del Senado, de conocer los cambios y analizar la pertinencia de su aprobación.</w:t>
      </w:r>
    </w:p>
    <w:p w:rsidR="001112BA" w:rsidRDefault="001112BA" w:rsidP="001112BA">
      <w:pPr>
        <w:spacing w:after="0" w:line="360" w:lineRule="auto"/>
        <w:jc w:val="both"/>
        <w:rPr>
          <w:rFonts w:ascii="Garamond" w:eastAsia="Calibri" w:hAnsi="Garamond" w:cs="Times New Roman"/>
          <w:sz w:val="24"/>
        </w:rPr>
      </w:pPr>
      <w:r w:rsidRPr="001112BA">
        <w:rPr>
          <w:rFonts w:ascii="Garamond" w:eastAsia="Calibri" w:hAnsi="Garamond" w:cs="Times New Roman"/>
          <w:sz w:val="24"/>
        </w:rPr>
        <w:t>A causa de reparos por parte de quienes consideraron que la regulación propuesta por la Comisión a la Sala, relativa a la sanción de la violación de secreto, coartaba tanto la libertad de prensa como de expresión, lesionando el derecho a ejercer actividades como el periodismo investigativo, se decidió reabrir el debate sobre la sanción a la violación de secreto, aclarando que la finalidad buscada nunca fue el conculcar ningún derecho constitucional, sino sancionar conductas que atentan contra el éxito de importantes investigaciones, aclarando que la impresión negativa se debía a una mala interpretación y desconocimiento técnico. Sin perjuicio de dicha aclaración, se solicitó a la Comisión de Constitución, elaborar una nueva propuesta, que restringiera el ámbito de aplicación, para que quedara claro quiénes eran los reales obligados con la norma.</w:t>
      </w:r>
    </w:p>
    <w:p w:rsidR="001112BA" w:rsidRPr="001112BA" w:rsidRDefault="001112BA" w:rsidP="001112BA">
      <w:pPr>
        <w:spacing w:after="0" w:line="360" w:lineRule="auto"/>
        <w:jc w:val="both"/>
        <w:rPr>
          <w:rFonts w:ascii="Garamond" w:eastAsia="Calibri" w:hAnsi="Garamond" w:cs="Times New Roman"/>
          <w:sz w:val="24"/>
        </w:rPr>
      </w:pPr>
      <w:r>
        <w:rPr>
          <w:rFonts w:ascii="Garamond" w:eastAsia="Calibri" w:hAnsi="Garamond" w:cs="Times New Roman"/>
          <w:sz w:val="24"/>
        </w:rPr>
        <w:t xml:space="preserve">Asi las cosas, la nueva redacción quedó de la siguiente manera: </w:t>
      </w:r>
      <w:r w:rsidRPr="001112BA">
        <w:rPr>
          <w:rFonts w:ascii="Garamond" w:eastAsia="Calibri" w:hAnsi="Garamond" w:cs="Times New Roman"/>
          <w:sz w:val="24"/>
        </w:rPr>
        <w:t>"Los funcionarios públicos que hubieren participado en una actuación de la investigación, los peritos y las personas que accedan a la investigación en virtud de una diligencia ordenada por el Ministerio Público, o una orden de un tribunal, estarán obligados a guardar secreto de las mismas. Igual obligación tendrán los intervinientes que señala el artículo 12, respecto de las diligencias de la investigación a las que hayan tenido acceso.</w:t>
      </w:r>
    </w:p>
    <w:p w:rsidR="001112BA" w:rsidRPr="001112BA" w:rsidRDefault="001112BA" w:rsidP="001112BA">
      <w:pPr>
        <w:spacing w:after="0" w:line="360" w:lineRule="auto"/>
        <w:jc w:val="both"/>
        <w:rPr>
          <w:rFonts w:ascii="Garamond" w:eastAsia="Calibri" w:hAnsi="Garamond" w:cs="Times New Roman"/>
          <w:sz w:val="24"/>
        </w:rPr>
      </w:pPr>
      <w:r w:rsidRPr="001112BA">
        <w:rPr>
          <w:rFonts w:ascii="Garamond" w:eastAsia="Calibri" w:hAnsi="Garamond" w:cs="Times New Roman"/>
          <w:sz w:val="24"/>
        </w:rPr>
        <w:t>"Las personas indicadas en el inciso anterior que infrinjan el deber de guardar secreto serán sancionadas con la pena de multa de veinte a doscientas unidades tributarias mensuales o presidio menor en su grado mínimo."</w:t>
      </w:r>
    </w:p>
    <w:p w:rsidR="00E82EB8" w:rsidRDefault="001112BA" w:rsidP="00E82EB8">
      <w:pPr>
        <w:spacing w:after="0" w:line="360" w:lineRule="auto"/>
        <w:jc w:val="both"/>
        <w:rPr>
          <w:rFonts w:ascii="Garamond" w:eastAsia="Calibri" w:hAnsi="Garamond" w:cs="Times New Roman"/>
          <w:sz w:val="24"/>
        </w:rPr>
      </w:pPr>
      <w:r>
        <w:rPr>
          <w:rFonts w:ascii="Garamond" w:eastAsia="Calibri" w:hAnsi="Garamond" w:cs="Times New Roman"/>
          <w:sz w:val="24"/>
        </w:rPr>
        <w:t>Sin embargo, al cursar el tercer trámite constitucional ante la Cámara de Diputados y posteriormente la Comisión Mixta, el precepto propuesto por el Senado fue rechazado, quedando excluida de cualquier discusión, la idea de sancionar autónomamente la filtración de antecedentes secretos por parte de terceros que no detenten la calidad de empleados públicos.</w:t>
      </w:r>
    </w:p>
    <w:p w:rsidR="001112BA" w:rsidRDefault="001112BA" w:rsidP="00E82EB8">
      <w:pPr>
        <w:spacing w:after="0" w:line="360" w:lineRule="auto"/>
        <w:jc w:val="both"/>
        <w:rPr>
          <w:rFonts w:ascii="Garamond" w:eastAsia="Calibri" w:hAnsi="Garamond" w:cs="Times New Roman"/>
          <w:sz w:val="24"/>
        </w:rPr>
      </w:pPr>
    </w:p>
    <w:p w:rsidR="001112BA" w:rsidRDefault="001112BA" w:rsidP="00E82EB8">
      <w:pPr>
        <w:spacing w:after="0" w:line="360" w:lineRule="auto"/>
        <w:jc w:val="both"/>
        <w:rPr>
          <w:rFonts w:ascii="Garamond" w:eastAsia="Calibri" w:hAnsi="Garamond" w:cs="Times New Roman"/>
          <w:sz w:val="24"/>
        </w:rPr>
      </w:pPr>
    </w:p>
    <w:p w:rsidR="001112BA" w:rsidRPr="00E82EB8" w:rsidRDefault="001112BA" w:rsidP="00E82EB8">
      <w:pPr>
        <w:spacing w:after="0" w:line="360" w:lineRule="auto"/>
        <w:jc w:val="both"/>
        <w:rPr>
          <w:rFonts w:ascii="Garamond" w:eastAsia="Calibri" w:hAnsi="Garamond" w:cs="Times New Roman"/>
          <w:sz w:val="24"/>
          <w:lang w:val="es-ES"/>
        </w:rPr>
      </w:pPr>
    </w:p>
    <w:p w:rsidR="00E82EB8" w:rsidRDefault="00E82EB8" w:rsidP="00E82EB8">
      <w:pPr>
        <w:numPr>
          <w:ilvl w:val="0"/>
          <w:numId w:val="2"/>
        </w:numPr>
        <w:spacing w:after="0" w:line="360" w:lineRule="auto"/>
        <w:contextualSpacing/>
        <w:jc w:val="both"/>
        <w:rPr>
          <w:rFonts w:ascii="Garamond" w:eastAsia="Calibri" w:hAnsi="Garamond" w:cs="Times New Roman"/>
          <w:b/>
          <w:sz w:val="24"/>
          <w:u w:val="single"/>
          <w:lang w:val="es-ES"/>
        </w:rPr>
      </w:pPr>
      <w:r w:rsidRPr="00E82EB8">
        <w:rPr>
          <w:rFonts w:ascii="Garamond" w:eastAsia="Calibri" w:hAnsi="Garamond" w:cs="Times New Roman"/>
          <w:b/>
          <w:sz w:val="24"/>
          <w:u w:val="single"/>
          <w:lang w:val="es-ES"/>
        </w:rPr>
        <w:lastRenderedPageBreak/>
        <w:t>ESTADÍSTICAS</w:t>
      </w:r>
    </w:p>
    <w:p w:rsidR="001112BA" w:rsidRDefault="001112BA" w:rsidP="001112BA">
      <w:pPr>
        <w:spacing w:after="0" w:line="360" w:lineRule="auto"/>
        <w:contextualSpacing/>
        <w:jc w:val="both"/>
        <w:rPr>
          <w:rFonts w:ascii="Garamond" w:eastAsia="Calibri" w:hAnsi="Garamond" w:cs="Times New Roman"/>
          <w:sz w:val="24"/>
          <w:lang w:val="es-ES"/>
        </w:rPr>
      </w:pPr>
      <w:r>
        <w:rPr>
          <w:rFonts w:ascii="Garamond" w:eastAsia="Calibri" w:hAnsi="Garamond" w:cs="Times New Roman"/>
          <w:sz w:val="24"/>
          <w:lang w:val="es-ES"/>
        </w:rPr>
        <w:t>Según cifras otorgadas por el Poder Judicial, e</w:t>
      </w:r>
      <w:r w:rsidRPr="001112BA">
        <w:rPr>
          <w:rFonts w:ascii="Garamond" w:eastAsia="Calibri" w:hAnsi="Garamond" w:cs="Times New Roman"/>
          <w:sz w:val="24"/>
          <w:lang w:val="es-ES"/>
        </w:rPr>
        <w:t>ntre 2010 y 2015, fueron revisadas 152 causas, de las cuales se sobreseyeron 57 y la fiscalía no perseveró en otras 36.</w:t>
      </w:r>
    </w:p>
    <w:p w:rsidR="001112BA" w:rsidRPr="001112BA" w:rsidRDefault="001112BA" w:rsidP="001112BA">
      <w:pPr>
        <w:spacing w:after="0" w:line="360" w:lineRule="auto"/>
        <w:contextualSpacing/>
        <w:jc w:val="both"/>
        <w:rPr>
          <w:rFonts w:ascii="Garamond" w:eastAsia="Calibri" w:hAnsi="Garamond" w:cs="Times New Roman"/>
          <w:sz w:val="24"/>
        </w:rPr>
      </w:pPr>
      <w:r>
        <w:rPr>
          <w:rFonts w:ascii="Garamond" w:eastAsia="Calibri" w:hAnsi="Garamond" w:cs="Times New Roman"/>
          <w:sz w:val="24"/>
        </w:rPr>
        <w:t>En el mismo contexto, se entregó información relativa al</w:t>
      </w:r>
      <w:bookmarkStart w:id="0" w:name="_GoBack"/>
      <w:bookmarkEnd w:id="0"/>
      <w:r w:rsidRPr="001112BA">
        <w:rPr>
          <w:rFonts w:ascii="Garamond" w:eastAsia="Calibri" w:hAnsi="Garamond" w:cs="Times New Roman"/>
          <w:sz w:val="24"/>
        </w:rPr>
        <w:t xml:space="preserve"> término de causas mediante el sobreseimiento definitivo, que es una resolución judicial que termina un proceso penal en contra de un imputado, y las decisiones de no perseverar con las investigaciones, representan más del 60% del total de términos de causas por este tipo de delitos.</w:t>
      </w:r>
    </w:p>
    <w:p w:rsidR="001112BA" w:rsidRPr="00E82EB8" w:rsidRDefault="001112BA" w:rsidP="001112BA">
      <w:pPr>
        <w:spacing w:after="0" w:line="360" w:lineRule="auto"/>
        <w:contextualSpacing/>
        <w:jc w:val="both"/>
        <w:rPr>
          <w:rFonts w:ascii="Garamond" w:eastAsia="Calibri" w:hAnsi="Garamond" w:cs="Times New Roman"/>
          <w:sz w:val="24"/>
          <w:lang w:val="es-ES"/>
        </w:rPr>
      </w:pPr>
    </w:p>
    <w:p w:rsidR="00E82EB8" w:rsidRPr="00E82EB8" w:rsidRDefault="00E82EB8" w:rsidP="00E82EB8">
      <w:pPr>
        <w:spacing w:after="0" w:line="360" w:lineRule="auto"/>
        <w:ind w:left="1080"/>
        <w:contextualSpacing/>
        <w:jc w:val="both"/>
        <w:rPr>
          <w:rFonts w:ascii="Garamond" w:eastAsia="Calibri" w:hAnsi="Garamond" w:cs="Times New Roman"/>
          <w:b/>
          <w:sz w:val="24"/>
          <w:u w:val="single"/>
          <w:lang w:val="es-ES"/>
        </w:rPr>
      </w:pPr>
    </w:p>
    <w:p w:rsidR="00E82EB8" w:rsidRDefault="00E82EB8"/>
    <w:sectPr w:rsidR="00E82EB8" w:rsidSect="00C4061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C3715"/>
    <w:multiLevelType w:val="hybridMultilevel"/>
    <w:tmpl w:val="3BC8DD0E"/>
    <w:lvl w:ilvl="0" w:tplc="1F46133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EEA3AEF"/>
    <w:multiLevelType w:val="hybridMultilevel"/>
    <w:tmpl w:val="38C412E8"/>
    <w:lvl w:ilvl="0" w:tplc="6CCC3EC4">
      <w:start w:val="1"/>
      <w:numFmt w:val="lowerLetter"/>
      <w:lvlText w:val="%1)"/>
      <w:lvlJc w:val="left"/>
      <w:pPr>
        <w:ind w:left="3195" w:hanging="360"/>
      </w:pPr>
      <w:rPr>
        <w:rFonts w:hint="default"/>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2" w15:restartNumberingAfterBreak="0">
    <w:nsid w:val="1F872AFB"/>
    <w:multiLevelType w:val="hybridMultilevel"/>
    <w:tmpl w:val="A1E2C2B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B8"/>
    <w:rsid w:val="001112BA"/>
    <w:rsid w:val="00D35FAA"/>
    <w:rsid w:val="00E82EB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399C9"/>
  <w15:chartTrackingRefBased/>
  <w15:docId w15:val="{AAECF6EC-203A-4788-BA3A-0D4AD89DB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1190</Words>
  <Characters>6550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Wildner</dc:creator>
  <cp:keywords/>
  <dc:description/>
  <cp:lastModifiedBy>Catalina Wildner</cp:lastModifiedBy>
  <cp:revision>1</cp:revision>
  <dcterms:created xsi:type="dcterms:W3CDTF">2018-01-29T02:01:00Z</dcterms:created>
  <dcterms:modified xsi:type="dcterms:W3CDTF">2018-01-29T02:35:00Z</dcterms:modified>
</cp:coreProperties>
</file>