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4CE5" w14:textId="165E8CCE" w:rsidR="0054286D" w:rsidRDefault="009D25DB" w:rsidP="009D25DB">
      <w:pPr>
        <w:pStyle w:val="Ttulo"/>
        <w:jc w:val="both"/>
        <w:rPr>
          <w:b/>
          <w:sz w:val="32"/>
          <w:szCs w:val="32"/>
        </w:rPr>
      </w:pPr>
      <w:bookmarkStart w:id="0" w:name="_GoBack"/>
      <w:bookmarkEnd w:id="0"/>
      <w:r w:rsidRPr="009D25DB">
        <w:rPr>
          <w:b/>
          <w:sz w:val="32"/>
          <w:szCs w:val="32"/>
        </w:rPr>
        <w:t>La cr</w:t>
      </w:r>
      <w:r w:rsidR="00B13787">
        <w:rPr>
          <w:b/>
          <w:sz w:val="32"/>
          <w:szCs w:val="32"/>
        </w:rPr>
        <w:t xml:space="preserve">isis de confianza institucional </w:t>
      </w:r>
      <w:r w:rsidR="00A65B60">
        <w:rPr>
          <w:b/>
          <w:sz w:val="32"/>
          <w:szCs w:val="32"/>
        </w:rPr>
        <w:t>2017 :</w:t>
      </w:r>
      <w:r w:rsidR="00B13787">
        <w:rPr>
          <w:b/>
          <w:sz w:val="32"/>
          <w:szCs w:val="32"/>
        </w:rPr>
        <w:t>actores e instituciones relevantes</w:t>
      </w:r>
      <w:r w:rsidR="00A65B60">
        <w:rPr>
          <w:b/>
          <w:sz w:val="32"/>
          <w:szCs w:val="32"/>
        </w:rPr>
        <w:t>.</w:t>
      </w:r>
    </w:p>
    <w:p w14:paraId="3821DD56" w14:textId="77777777" w:rsidR="00344211" w:rsidRDefault="00344211" w:rsidP="00EE6AA2">
      <w:pPr>
        <w:jc w:val="both"/>
      </w:pPr>
    </w:p>
    <w:p w14:paraId="0634F1EE" w14:textId="77777777" w:rsidR="00344211" w:rsidRDefault="00344211" w:rsidP="00EE6AA2">
      <w:pPr>
        <w:jc w:val="both"/>
      </w:pPr>
    </w:p>
    <w:p w14:paraId="3831E817" w14:textId="77777777" w:rsidR="00344211" w:rsidRDefault="00344211" w:rsidP="00EE6AA2">
      <w:pPr>
        <w:jc w:val="both"/>
      </w:pPr>
    </w:p>
    <w:p w14:paraId="2A9C379C" w14:textId="50CC6FB6" w:rsidR="00EE6AA2" w:rsidRDefault="00EE6AA2" w:rsidP="00EE6AA2">
      <w:pPr>
        <w:jc w:val="both"/>
        <w:rPr>
          <w:rFonts w:ascii="Times" w:hAnsi="Times"/>
        </w:rPr>
      </w:pPr>
      <w:r>
        <w:t>La crisis de</w:t>
      </w:r>
      <w:r>
        <w:rPr>
          <w:rFonts w:ascii="Times" w:hAnsi="Times"/>
        </w:rPr>
        <w:t xml:space="preserve"> confianza institucional</w:t>
      </w:r>
      <w:r w:rsidR="00A65B60">
        <w:rPr>
          <w:rFonts w:ascii="Times" w:hAnsi="Times"/>
        </w:rPr>
        <w:t>, ha devenido en nuestro paìs, en</w:t>
      </w:r>
      <w:r>
        <w:rPr>
          <w:rFonts w:ascii="Times" w:hAnsi="Times"/>
        </w:rPr>
        <w:t xml:space="preserve"> un</w:t>
      </w:r>
      <w:r w:rsidR="00A65B60">
        <w:rPr>
          <w:rFonts w:ascii="Times" w:hAnsi="Times"/>
        </w:rPr>
        <w:t>a tendencia social ascendente,</w:t>
      </w:r>
      <w:r>
        <w:rPr>
          <w:rFonts w:ascii="Times" w:hAnsi="Times"/>
        </w:rPr>
        <w:t xml:space="preserve"> en los últimos años </w:t>
      </w:r>
      <w:r w:rsidR="00A65B60">
        <w:rPr>
          <w:rFonts w:ascii="Times" w:hAnsi="Times"/>
        </w:rPr>
        <w:t xml:space="preserve">, está </w:t>
      </w:r>
      <w:r>
        <w:rPr>
          <w:rFonts w:ascii="Times" w:hAnsi="Times"/>
        </w:rPr>
        <w:t>afecta</w:t>
      </w:r>
      <w:r w:rsidR="00A65B60">
        <w:rPr>
          <w:rFonts w:ascii="Times" w:hAnsi="Times"/>
        </w:rPr>
        <w:t>ndo</w:t>
      </w:r>
      <w:r>
        <w:rPr>
          <w:rFonts w:ascii="Times" w:hAnsi="Times"/>
        </w:rPr>
        <w:t xml:space="preserve"> al sistema político</w:t>
      </w:r>
      <w:r w:rsidR="00A65B60">
        <w:rPr>
          <w:rFonts w:ascii="Times" w:hAnsi="Times"/>
        </w:rPr>
        <w:t>, el funcionamiento de la democracia.</w:t>
      </w:r>
      <w:r>
        <w:rPr>
          <w:rFonts w:ascii="Times" w:hAnsi="Times"/>
        </w:rPr>
        <w:t xml:space="preserve">Esta tendencia </w:t>
      </w:r>
      <w:r w:rsidR="00A65B60">
        <w:rPr>
          <w:rFonts w:ascii="Times" w:hAnsi="Times"/>
        </w:rPr>
        <w:t xml:space="preserve">, </w:t>
      </w:r>
      <w:r>
        <w:rPr>
          <w:rFonts w:ascii="Times" w:hAnsi="Times"/>
        </w:rPr>
        <w:t xml:space="preserve">se ha ido </w:t>
      </w:r>
      <w:r w:rsidR="00A65B60">
        <w:rPr>
          <w:rFonts w:ascii="Times" w:hAnsi="Times"/>
        </w:rPr>
        <w:t xml:space="preserve">potenciando por casos particulares de instituciones relevantes, que pierden legitimidad e imagen pública </w:t>
      </w:r>
      <w:r>
        <w:rPr>
          <w:rFonts w:ascii="Times" w:hAnsi="Times"/>
        </w:rPr>
        <w:t>en el contexto de escándalos</w:t>
      </w:r>
      <w:r w:rsidR="00A65B60">
        <w:rPr>
          <w:rFonts w:ascii="Times" w:hAnsi="Times"/>
        </w:rPr>
        <w:t xml:space="preserve"> de alto impacto</w:t>
      </w:r>
      <w:r>
        <w:rPr>
          <w:rFonts w:ascii="Times" w:hAnsi="Times"/>
        </w:rPr>
        <w:t>, que</w:t>
      </w:r>
      <w:r w:rsidR="00A65B60">
        <w:rPr>
          <w:rFonts w:ascii="Times" w:hAnsi="Times"/>
        </w:rPr>
        <w:t xml:space="preserve"> han contribuido al avance de una espiral de deterioro creciente de la confianza institucional</w:t>
      </w:r>
      <w:r>
        <w:rPr>
          <w:rFonts w:ascii="Times" w:hAnsi="Times"/>
        </w:rPr>
        <w:t>. Los escándalos de fraude en Carabineros, el Ejército, el abuso de menores en la Iglesia Católica, los casos de colusión empresarial, el tema del financiamiento de la política y los procesos judiciales a lideres polìticos y congresistas, han contribuido a</w:t>
      </w:r>
      <w:r w:rsidR="00A65B60">
        <w:rPr>
          <w:rFonts w:ascii="Times" w:hAnsi="Times"/>
        </w:rPr>
        <w:t xml:space="preserve"> la profundización</w:t>
      </w:r>
      <w:r>
        <w:rPr>
          <w:rFonts w:ascii="Times" w:hAnsi="Times"/>
        </w:rPr>
        <w:t xml:space="preserve"> </w:t>
      </w:r>
      <w:r w:rsidR="00A65B60">
        <w:rPr>
          <w:rFonts w:ascii="Times" w:hAnsi="Times"/>
        </w:rPr>
        <w:t xml:space="preserve">de </w:t>
      </w:r>
      <w:r>
        <w:rPr>
          <w:rFonts w:ascii="Times" w:hAnsi="Times"/>
        </w:rPr>
        <w:t>una crisis de confianza institucional</w:t>
      </w:r>
      <w:r w:rsidR="00A65B60">
        <w:rPr>
          <w:rFonts w:ascii="Times" w:hAnsi="Times"/>
        </w:rPr>
        <w:t>, compleja que no ha sido resuelta.</w:t>
      </w:r>
    </w:p>
    <w:p w14:paraId="4DE6811E" w14:textId="0325B324" w:rsidR="00A65B60" w:rsidRDefault="00A65B60" w:rsidP="00EE6AA2">
      <w:pPr>
        <w:jc w:val="both"/>
        <w:rPr>
          <w:rFonts w:ascii="Times" w:hAnsi="Times"/>
        </w:rPr>
      </w:pPr>
      <w:r>
        <w:rPr>
          <w:rFonts w:ascii="Times" w:hAnsi="Times"/>
        </w:rPr>
        <w:t>Una mirada a casos relevantes durante el 2017 muestra el estado del desarrollo de la crisis de confianza, que sigue impactando al Congreso, como institución democrática con deterioro de legitimidad.</w:t>
      </w:r>
    </w:p>
    <w:p w14:paraId="261CE2D2" w14:textId="77777777" w:rsidR="00EE6AA2" w:rsidRDefault="00EE6AA2" w:rsidP="00EE6AA2">
      <w:pPr>
        <w:jc w:val="both"/>
        <w:rPr>
          <w:rFonts w:ascii="Times" w:hAnsi="Times"/>
        </w:rPr>
      </w:pPr>
    </w:p>
    <w:p w14:paraId="3D365F17" w14:textId="2EFE972B" w:rsidR="00EE6AA2" w:rsidRPr="00EE6AA2" w:rsidRDefault="00227FDF" w:rsidP="00EE6AA2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1.- </w:t>
      </w:r>
      <w:r w:rsidR="00EE6AA2" w:rsidRPr="00EE6AA2">
        <w:rPr>
          <w:rFonts w:ascii="Times" w:hAnsi="Times"/>
          <w:b/>
        </w:rPr>
        <w:t>El caso de Carabineros de Chile.</w:t>
      </w:r>
    </w:p>
    <w:p w14:paraId="7126D6CE" w14:textId="77777777" w:rsidR="00EE6AA2" w:rsidRDefault="00EE6AA2" w:rsidP="00EE6AA2">
      <w:pPr>
        <w:jc w:val="both"/>
        <w:rPr>
          <w:rFonts w:ascii="Times" w:hAnsi="Times"/>
        </w:rPr>
      </w:pPr>
    </w:p>
    <w:p w14:paraId="11247FEA" w14:textId="2934DE14" w:rsidR="00EE6AA2" w:rsidRDefault="00EE6AA2" w:rsidP="00EE6AA2">
      <w:pPr>
        <w:jc w:val="both"/>
        <w:rPr>
          <w:rFonts w:ascii="Times" w:hAnsi="Times"/>
        </w:rPr>
      </w:pPr>
      <w:r>
        <w:rPr>
          <w:rFonts w:ascii="Times" w:hAnsi="Times"/>
        </w:rPr>
        <w:t>La institución policial uniformada , tradicionalmente la mejor evaluada</w:t>
      </w:r>
      <w:r w:rsidR="00A65B60">
        <w:rPr>
          <w:rFonts w:ascii="Times" w:hAnsi="Times"/>
        </w:rPr>
        <w:t xml:space="preserve"> en las encuestas</w:t>
      </w:r>
      <w:r>
        <w:rPr>
          <w:rFonts w:ascii="Times" w:hAnsi="Times"/>
        </w:rPr>
        <w:t>, ha tenido una sensible baja en el apoyo de la opinión pública, por el megafraude en Carabineros por un monto  $ 25.700 millones que compromete</w:t>
      </w:r>
      <w:r w:rsidR="00A65B60">
        <w:rPr>
          <w:rFonts w:ascii="Times" w:hAnsi="Times"/>
        </w:rPr>
        <w:t xml:space="preserve"> hasta la fecha, </w:t>
      </w:r>
      <w:r>
        <w:rPr>
          <w:rFonts w:ascii="Times" w:hAnsi="Times"/>
        </w:rPr>
        <w:t xml:space="preserve"> a 40 uniformados. El atributo de la probidad de Carabineros, una policía insorbornable</w:t>
      </w:r>
      <w:r w:rsidR="00A65B60">
        <w:rPr>
          <w:rFonts w:ascii="Times" w:hAnsi="Times"/>
        </w:rPr>
        <w:t xml:space="preserve"> en el contexto latinoamericano</w:t>
      </w:r>
      <w:r>
        <w:rPr>
          <w:rFonts w:ascii="Times" w:hAnsi="Times"/>
        </w:rPr>
        <w:t>, se ha desplomado por</w:t>
      </w:r>
      <w:r w:rsidR="00A65B60">
        <w:rPr>
          <w:rFonts w:ascii="Times" w:hAnsi="Times"/>
        </w:rPr>
        <w:t xml:space="preserve"> </w:t>
      </w:r>
      <w:r>
        <w:rPr>
          <w:rFonts w:ascii="Times" w:hAnsi="Times"/>
        </w:rPr>
        <w:t xml:space="preserve"> el fraude de recursos públicos realiz</w:t>
      </w:r>
      <w:r w:rsidR="00A65B60">
        <w:rPr>
          <w:rFonts w:ascii="Times" w:hAnsi="Times"/>
        </w:rPr>
        <w:t>ado por oficiales y personal de la institucional policial…</w:t>
      </w:r>
    </w:p>
    <w:p w14:paraId="3C7200E8" w14:textId="77777777" w:rsidR="00EE6AA2" w:rsidRDefault="00EE6AA2" w:rsidP="00EE6AA2">
      <w:pPr>
        <w:jc w:val="both"/>
        <w:rPr>
          <w:rFonts w:ascii="Times" w:hAnsi="Times"/>
        </w:rPr>
      </w:pPr>
    </w:p>
    <w:p w14:paraId="32753F81" w14:textId="1D8774F6" w:rsidR="00EE6AA2" w:rsidRPr="00344211" w:rsidRDefault="00EE6AA2" w:rsidP="00E60322">
      <w:r w:rsidRPr="00344211">
        <w:t xml:space="preserve">Confianza en </w:t>
      </w:r>
      <w:r w:rsidR="00FA490A" w:rsidRPr="00344211">
        <w:t>carabineros 2016-2017</w:t>
      </w:r>
    </w:p>
    <w:p w14:paraId="5711F65A" w14:textId="36EBDC3F" w:rsidR="00EE6AA2" w:rsidRDefault="00FA490A" w:rsidP="00EE6AA2">
      <w:pPr>
        <w:jc w:val="both"/>
        <w:rPr>
          <w:rFonts w:ascii="Times" w:hAnsi="Times"/>
        </w:rPr>
      </w:pPr>
      <w:r>
        <w:rPr>
          <w:noProof/>
          <w:lang w:val="es-ES"/>
        </w:rPr>
        <w:drawing>
          <wp:inline distT="0" distB="0" distL="0" distR="0" wp14:anchorId="116D2113" wp14:editId="3A4019AF">
            <wp:extent cx="5375275" cy="1836318"/>
            <wp:effectExtent l="0" t="0" r="9525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724C744" w14:textId="77777777" w:rsidR="00EE6AA2" w:rsidRPr="00FA490A" w:rsidRDefault="00EE6AA2" w:rsidP="00EE6AA2">
      <w:pPr>
        <w:rPr>
          <w:i/>
          <w:sz w:val="20"/>
          <w:szCs w:val="20"/>
        </w:rPr>
      </w:pPr>
      <w:r w:rsidRPr="00FA490A">
        <w:rPr>
          <w:i/>
          <w:sz w:val="20"/>
          <w:szCs w:val="20"/>
        </w:rPr>
        <w:t>Elaborado en base a Indice de Paz Ciudadana-GFK Adimark Septiembre 2017.</w:t>
      </w:r>
    </w:p>
    <w:p w14:paraId="08FD5D1D" w14:textId="77777777" w:rsidR="00EE6AA2" w:rsidRDefault="00EE6AA2" w:rsidP="00EE6AA2">
      <w:pPr>
        <w:jc w:val="both"/>
        <w:rPr>
          <w:rFonts w:ascii="Times" w:hAnsi="Times"/>
        </w:rPr>
      </w:pPr>
    </w:p>
    <w:p w14:paraId="3542B92E" w14:textId="63C6693A" w:rsidR="00EE6AA2" w:rsidRDefault="00FA490A" w:rsidP="00E6032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El Indice de </w:t>
      </w:r>
      <w:r w:rsidR="00A65B60">
        <w:rPr>
          <w:rFonts w:ascii="Times" w:hAnsi="Times"/>
        </w:rPr>
        <w:t xml:space="preserve">Paz Ciudadana-Adimark del 2017 dá cuenta de la caída de la confianza en carabineros: el 2016, </w:t>
      </w:r>
      <w:r>
        <w:rPr>
          <w:rFonts w:ascii="Times" w:hAnsi="Times"/>
        </w:rPr>
        <w:t>un 56% tenía mucha y bastante confianza en</w:t>
      </w:r>
      <w:r w:rsidR="00A65B60">
        <w:rPr>
          <w:rFonts w:ascii="Times" w:hAnsi="Times"/>
        </w:rPr>
        <w:t xml:space="preserve"> carabineros</w:t>
      </w:r>
      <w:r>
        <w:rPr>
          <w:rFonts w:ascii="Times" w:hAnsi="Times"/>
        </w:rPr>
        <w:t xml:space="preserve">; con el destape del escàndalo del megafraude institucional durante el 2017 se produce una baja de 12 puntos quedando la confianza reducida a un 44%. Otro estudio anual de la confianza </w:t>
      </w:r>
      <w:r>
        <w:rPr>
          <w:rFonts w:ascii="Times" w:hAnsi="Times"/>
        </w:rPr>
        <w:lastRenderedPageBreak/>
        <w:t>institucional, muestra un</w:t>
      </w:r>
      <w:r w:rsidR="00433CD5">
        <w:rPr>
          <w:rFonts w:ascii="Times" w:hAnsi="Times"/>
        </w:rPr>
        <w:t>a cierta recuperación desde Agosto</w:t>
      </w:r>
      <w:r>
        <w:rPr>
          <w:rFonts w:ascii="Times" w:hAnsi="Times"/>
        </w:rPr>
        <w:t xml:space="preserve"> en adelante: el primer semestre del año en el contexto del escándalo del fraude se produce una desplome en el apoyo ciudadano de 32 puntos : de 77 a 45%. A partir de Agosto se aprecia una sostenida recuperación en terminos de confianza con Carabineros, de 17 puntos , subiendo de 45% a un 65%. Es probable que las medidas de transparencia y probidad tomadas por el</w:t>
      </w:r>
      <w:r w:rsidR="00E60322">
        <w:rPr>
          <w:rFonts w:ascii="Times" w:hAnsi="Times"/>
        </w:rPr>
        <w:t xml:space="preserve"> </w:t>
      </w:r>
      <w:r>
        <w:rPr>
          <w:rFonts w:ascii="Times" w:hAnsi="Times"/>
        </w:rPr>
        <w:t>mando institucional y el sometimiento a juicio a los involucrados</w:t>
      </w:r>
      <w:r w:rsidR="00433CD5">
        <w:rPr>
          <w:rFonts w:ascii="Times" w:hAnsi="Times"/>
        </w:rPr>
        <w:t xml:space="preserve">, </w:t>
      </w:r>
      <w:r>
        <w:rPr>
          <w:rFonts w:ascii="Times" w:hAnsi="Times"/>
        </w:rPr>
        <w:t xml:space="preserve"> esté contribuyendo al mejoramiento del c</w:t>
      </w:r>
      <w:r w:rsidR="00E60322">
        <w:rPr>
          <w:rFonts w:ascii="Times" w:hAnsi="Times"/>
        </w:rPr>
        <w:t>lima de confianza institucional</w:t>
      </w:r>
      <w:r w:rsidR="00433CD5">
        <w:rPr>
          <w:rFonts w:ascii="Times" w:hAnsi="Times"/>
        </w:rPr>
        <w:t xml:space="preserve"> en la opinión pública.</w:t>
      </w:r>
    </w:p>
    <w:p w14:paraId="58CDBC13" w14:textId="77777777" w:rsidR="009C5750" w:rsidRDefault="009C5750" w:rsidP="00D76765">
      <w:pPr>
        <w:rPr>
          <w:rFonts w:ascii="Times" w:hAnsi="Times"/>
        </w:rPr>
      </w:pPr>
    </w:p>
    <w:p w14:paraId="306C16B4" w14:textId="77777777" w:rsidR="00D76765" w:rsidRDefault="00D76765" w:rsidP="00D76765">
      <w:r>
        <w:rPr>
          <w:noProof/>
          <w:lang w:val="es-ES"/>
        </w:rPr>
        <w:drawing>
          <wp:inline distT="0" distB="0" distL="0" distR="0" wp14:anchorId="1A6293FB" wp14:editId="4DBFD1ED">
            <wp:extent cx="6061075" cy="1857682"/>
            <wp:effectExtent l="0" t="0" r="34925" b="222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B794A63" w14:textId="12FBB3D3" w:rsidR="00321CA6" w:rsidRDefault="00D76765" w:rsidP="00D76765">
      <w:pPr>
        <w:rPr>
          <w:i/>
          <w:sz w:val="20"/>
          <w:szCs w:val="20"/>
        </w:rPr>
      </w:pPr>
      <w:r>
        <w:rPr>
          <w:i/>
          <w:sz w:val="20"/>
          <w:szCs w:val="20"/>
        </w:rPr>
        <w:t>Elaborado en base a Plaza Pública/Cadem/Estudio 207/2/01/18.</w:t>
      </w:r>
    </w:p>
    <w:p w14:paraId="36748F20" w14:textId="77777777" w:rsidR="00227FDF" w:rsidRDefault="00227FDF" w:rsidP="00D76765">
      <w:pPr>
        <w:rPr>
          <w:i/>
          <w:sz w:val="20"/>
          <w:szCs w:val="20"/>
        </w:rPr>
      </w:pPr>
    </w:p>
    <w:p w14:paraId="04F42C6C" w14:textId="4B9E5350" w:rsidR="00227FDF" w:rsidRDefault="00227FDF" w:rsidP="00227FDF">
      <w:pPr>
        <w:rPr>
          <w:b/>
        </w:rPr>
      </w:pPr>
      <w:r>
        <w:rPr>
          <w:b/>
        </w:rPr>
        <w:t>2.- La crisis de confianza con la</w:t>
      </w:r>
      <w:r w:rsidRPr="008A7BDA">
        <w:rPr>
          <w:b/>
        </w:rPr>
        <w:t xml:space="preserve"> Iglesia Católica</w:t>
      </w:r>
      <w:r>
        <w:rPr>
          <w:b/>
        </w:rPr>
        <w:t>.</w:t>
      </w:r>
    </w:p>
    <w:p w14:paraId="13EF0E8A" w14:textId="77777777" w:rsidR="00227FDF" w:rsidRDefault="00227FDF" w:rsidP="00227FDF">
      <w:pPr>
        <w:rPr>
          <w:b/>
        </w:rPr>
      </w:pPr>
    </w:p>
    <w:p w14:paraId="310891D6" w14:textId="77777777" w:rsidR="00433CD5" w:rsidRDefault="00227FDF" w:rsidP="00E60322">
      <w:pPr>
        <w:jc w:val="both"/>
      </w:pPr>
      <w:r>
        <w:t>La Iglesia</w:t>
      </w:r>
      <w:r w:rsidR="00433CD5">
        <w:t xml:space="preserve"> Católica de nuestro país es otra institución de alto prestigio social, que estña viviendo una profunda crisis de confianza por</w:t>
      </w:r>
      <w:r>
        <w:t xml:space="preserve"> la</w:t>
      </w:r>
      <w:r w:rsidR="00433CD5">
        <w:t xml:space="preserve"> apertura sistemática de </w:t>
      </w:r>
      <w:r>
        <w:t xml:space="preserve"> denuncia de casos de abuso sexual a menores, cometidos por prelados e instituciones vinculadas a la Iglesia . </w:t>
      </w:r>
    </w:p>
    <w:p w14:paraId="27E694C0" w14:textId="77777777" w:rsidR="00433CD5" w:rsidRDefault="00433CD5" w:rsidP="00E60322">
      <w:pPr>
        <w:jc w:val="both"/>
      </w:pPr>
    </w:p>
    <w:p w14:paraId="499E0BBA" w14:textId="276A575C" w:rsidR="00E60322" w:rsidRPr="00433CD5" w:rsidRDefault="00227FDF" w:rsidP="00E60322">
      <w:pPr>
        <w:jc w:val="both"/>
        <w:rPr>
          <w:i/>
          <w:sz w:val="20"/>
          <w:szCs w:val="20"/>
        </w:rPr>
      </w:pPr>
      <w:r>
        <w:t xml:space="preserve">Se registran </w:t>
      </w:r>
      <w:r w:rsidR="00433CD5">
        <w:t xml:space="preserve">en los últimos 15 años, </w:t>
      </w:r>
      <w:r>
        <w:t>a lo menos</w:t>
      </w:r>
      <w:r w:rsidR="00433CD5">
        <w:t xml:space="preserve"> </w:t>
      </w:r>
      <w:r>
        <w:t>80 casos de denuncia y juicios a religiosos e insti</w:t>
      </w:r>
      <w:r w:rsidR="00433CD5">
        <w:t xml:space="preserve">tuciones religiosas , en iglesias y diócesis, seminarios y </w:t>
      </w:r>
      <w:r>
        <w:t xml:space="preserve"> colegios ca</w:t>
      </w:r>
      <w:r w:rsidR="00433CD5">
        <w:t>tólicos)</w:t>
      </w:r>
      <w:r>
        <w:t>(</w:t>
      </w:r>
      <w:r w:rsidRPr="00227FDF">
        <w:rPr>
          <w:i/>
          <w:sz w:val="22"/>
          <w:szCs w:val="22"/>
        </w:rPr>
        <w:t>LT/9/01/18)</w:t>
      </w:r>
      <w:r>
        <w:rPr>
          <w:i/>
          <w:sz w:val="22"/>
          <w:szCs w:val="22"/>
        </w:rPr>
        <w:t xml:space="preserve">, </w:t>
      </w:r>
      <w:r>
        <w:t xml:space="preserve">con casos de alto impacto en la opiniòn pública como el </w:t>
      </w:r>
      <w:r w:rsidR="00433CD5">
        <w:t xml:space="preserve">del obispo </w:t>
      </w:r>
      <w:r>
        <w:t>Karadima</w:t>
      </w:r>
      <w:r w:rsidR="00433CD5">
        <w:t xml:space="preserve"> y la red de protección institucional</w:t>
      </w:r>
      <w:r>
        <w:t xml:space="preserve">. El escándalo de los abusos sexuales en la Iglesia Católica </w:t>
      </w:r>
      <w:r w:rsidR="00433CD5">
        <w:t>,</w:t>
      </w:r>
      <w:r>
        <w:t xml:space="preserve">ha debilitado su legitimidad social y generado una profunda crisis de confianza no resuelta hasta la fecha. Los niveles de confianza con la Iglesia Católica son muy bajos, </w:t>
      </w:r>
      <w:r w:rsidR="00433CD5">
        <w:t xml:space="preserve">estancados en torno a un 31% . Esta crisis de confianza </w:t>
      </w:r>
      <w:r w:rsidR="00E60322">
        <w:t xml:space="preserve">con la Iglesia Católica es un elemento a tener en consideración con  las bajas expectativas y menor entusiasmo de la opinión pública con la visita del Papa Francisco: un mayoritario 82% se opone a que el Gobierno financie </w:t>
      </w:r>
      <w:r w:rsidR="00433CD5">
        <w:t>la gira papal con un aporte de</w:t>
      </w:r>
      <w:r w:rsidR="00E60322">
        <w:t xml:space="preserve"> $ 7 mil m</w:t>
      </w:r>
      <w:r w:rsidR="00433CD5">
        <w:t xml:space="preserve">illones de pesos </w:t>
      </w:r>
      <w:r w:rsidR="00E60322">
        <w:t xml:space="preserve"> y un 54% es contrario a la declaración de feriado por la visita papal.</w:t>
      </w:r>
      <w:r w:rsidR="00E60322" w:rsidRPr="00E60322">
        <w:rPr>
          <w:i/>
          <w:sz w:val="22"/>
          <w:szCs w:val="22"/>
        </w:rPr>
        <w:t>(Cadem 2/01/18)</w:t>
      </w:r>
      <w:r w:rsidR="00E60322">
        <w:rPr>
          <w:i/>
          <w:sz w:val="22"/>
          <w:szCs w:val="22"/>
        </w:rPr>
        <w:t>.</w:t>
      </w:r>
      <w:r w:rsidR="00433CD5">
        <w:rPr>
          <w:sz w:val="22"/>
          <w:szCs w:val="22"/>
        </w:rPr>
        <w:t xml:space="preserve"> Una encuesta anterior de Noviembre del 2017 registraba que un 78% no estaba dispuesto a participar en los actos con el Papa y un 82% no estaba dispuesto a financiar la visita del Papa ( </w:t>
      </w:r>
      <w:r w:rsidR="00433CD5">
        <w:rPr>
          <w:i/>
          <w:sz w:val="20"/>
          <w:szCs w:val="20"/>
        </w:rPr>
        <w:t>Enc.Imaginacción/Cooperativa(11/17).</w:t>
      </w:r>
    </w:p>
    <w:p w14:paraId="12C2E37E" w14:textId="32B9D0AE" w:rsidR="009C5750" w:rsidRDefault="009C5750" w:rsidP="00227FDF">
      <w:pPr>
        <w:jc w:val="both"/>
      </w:pPr>
    </w:p>
    <w:p w14:paraId="3C30A919" w14:textId="77777777" w:rsidR="00227FDF" w:rsidRDefault="00227FDF" w:rsidP="00227FDF">
      <w:r>
        <w:rPr>
          <w:noProof/>
          <w:lang w:val="es-ES"/>
        </w:rPr>
        <w:drawing>
          <wp:inline distT="0" distB="0" distL="0" distR="0" wp14:anchorId="2B9BE599" wp14:editId="71E8D252">
            <wp:extent cx="6058535" cy="1990418"/>
            <wp:effectExtent l="0" t="0" r="37465" b="1651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1D3F648" w14:textId="77777777" w:rsidR="00227FDF" w:rsidRDefault="00227FDF" w:rsidP="00227FDF">
      <w:pPr>
        <w:rPr>
          <w:i/>
          <w:sz w:val="20"/>
          <w:szCs w:val="20"/>
        </w:rPr>
      </w:pPr>
      <w:r>
        <w:rPr>
          <w:i/>
          <w:sz w:val="20"/>
          <w:szCs w:val="20"/>
        </w:rPr>
        <w:t>Elaborado en base a Plaza Pública/Cadem/Estudio 207/2/01/18.</w:t>
      </w:r>
    </w:p>
    <w:p w14:paraId="30A39D30" w14:textId="77777777" w:rsidR="00227FDF" w:rsidRDefault="00227FDF" w:rsidP="00D76765">
      <w:pPr>
        <w:rPr>
          <w:i/>
          <w:sz w:val="20"/>
          <w:szCs w:val="20"/>
        </w:rPr>
      </w:pPr>
    </w:p>
    <w:p w14:paraId="3E89662F" w14:textId="77777777" w:rsidR="00344211" w:rsidRDefault="00344211" w:rsidP="00E60322">
      <w:pPr>
        <w:rPr>
          <w:i/>
          <w:sz w:val="20"/>
          <w:szCs w:val="20"/>
        </w:rPr>
      </w:pPr>
    </w:p>
    <w:p w14:paraId="1C02C2F7" w14:textId="1DE449E9" w:rsidR="00E60322" w:rsidRPr="008A7BDA" w:rsidRDefault="00E60322" w:rsidP="00E60322">
      <w:pPr>
        <w:rPr>
          <w:b/>
        </w:rPr>
      </w:pPr>
      <w:r>
        <w:rPr>
          <w:b/>
        </w:rPr>
        <w:t xml:space="preserve">3.- </w:t>
      </w:r>
      <w:r w:rsidR="009C5750">
        <w:rPr>
          <w:b/>
        </w:rPr>
        <w:t>Confianza con</w:t>
      </w:r>
      <w:r w:rsidRPr="008A7BDA">
        <w:rPr>
          <w:b/>
        </w:rPr>
        <w:t xml:space="preserve"> </w:t>
      </w:r>
      <w:r>
        <w:rPr>
          <w:b/>
        </w:rPr>
        <w:t>los g</w:t>
      </w:r>
      <w:r w:rsidRPr="008A7BDA">
        <w:rPr>
          <w:b/>
        </w:rPr>
        <w:t>remios empresariales</w:t>
      </w:r>
    </w:p>
    <w:p w14:paraId="0BA8DA86" w14:textId="77777777" w:rsidR="00E60322" w:rsidRDefault="00E60322" w:rsidP="00E60322">
      <w:pPr>
        <w:rPr>
          <w:i/>
          <w:sz w:val="20"/>
          <w:szCs w:val="20"/>
        </w:rPr>
      </w:pPr>
    </w:p>
    <w:p w14:paraId="15EA49DB" w14:textId="77777777" w:rsidR="00433CD5" w:rsidRDefault="00154F5D" w:rsidP="00154F5D">
      <w:pPr>
        <w:jc w:val="both"/>
      </w:pPr>
      <w:r>
        <w:t>Otra institucio</w:t>
      </w:r>
      <w:r w:rsidR="00433CD5">
        <w:t>n social importante del país , como</w:t>
      </w:r>
      <w:r>
        <w:t xml:space="preserve"> los gremios empres</w:t>
      </w:r>
      <w:r w:rsidR="00433CD5">
        <w:t xml:space="preserve">ariales, </w:t>
      </w:r>
      <w:r>
        <w:t>registra</w:t>
      </w:r>
      <w:r w:rsidR="00433CD5">
        <w:t>n</w:t>
      </w:r>
      <w:r>
        <w:t xml:space="preserve"> un deterioro de la confianza social </w:t>
      </w:r>
      <w:r w:rsidR="00433CD5">
        <w:t xml:space="preserve">, </w:t>
      </w:r>
      <w:r>
        <w:t xml:space="preserve">en el contexto de los casos de colusión y del financiamiento de la polìtica. </w:t>
      </w:r>
    </w:p>
    <w:p w14:paraId="63866667" w14:textId="77777777" w:rsidR="00433CD5" w:rsidRDefault="00433CD5" w:rsidP="00154F5D">
      <w:pPr>
        <w:jc w:val="both"/>
      </w:pPr>
    </w:p>
    <w:p w14:paraId="67D4040B" w14:textId="0595A508" w:rsidR="00E60322" w:rsidRDefault="00433CD5" w:rsidP="00154F5D">
      <w:pPr>
        <w:jc w:val="both"/>
      </w:pPr>
      <w:r>
        <w:t>En especial ,l</w:t>
      </w:r>
      <w:r w:rsidR="00154F5D">
        <w:t>os escándalos de colusión empresarial de los últimos 10 años, como el caso de las Farmacias (2008) pollos (2011) , papel higiénico y pañales (2015) supermercados ( 2016)</w:t>
      </w:r>
      <w:r>
        <w:t xml:space="preserve">, en temas de alta sensibilidad de la opinión pública y consumidores, </w:t>
      </w:r>
      <w:r w:rsidR="00154F5D">
        <w:t xml:space="preserve"> han ido consolidando un juicio crítico con el mundo empresarial con una crisis de confianza que se ha mantenido en un bajo nivel de 30% de confianza. El alza significativa de</w:t>
      </w:r>
      <w:r>
        <w:t xml:space="preserve"> 6 puntos en </w:t>
      </w:r>
      <w:r w:rsidR="00154F5D">
        <w:t xml:space="preserve"> Diciembre</w:t>
      </w:r>
      <w:r>
        <w:t xml:space="preserve"> del 2018 de</w:t>
      </w:r>
      <w:r w:rsidR="00154F5D">
        <w:t xml:space="preserve"> la confianza empresarial</w:t>
      </w:r>
      <w:r>
        <w:t xml:space="preserve">, </w:t>
      </w:r>
      <w:r w:rsidR="00154F5D">
        <w:t xml:space="preserve"> que se eleva a un 39% </w:t>
      </w:r>
      <w:r>
        <w:t xml:space="preserve">, </w:t>
      </w:r>
      <w:r w:rsidR="00154F5D">
        <w:t>se</w:t>
      </w:r>
      <w:r>
        <w:t xml:space="preserve"> puede </w:t>
      </w:r>
      <w:r w:rsidR="00154F5D">
        <w:t xml:space="preserve"> explica</w:t>
      </w:r>
      <w:r>
        <w:t>r</w:t>
      </w:r>
      <w:r w:rsidR="00154F5D">
        <w:t xml:space="preserve"> en el contexto de la elección presidencial y el triunfo rotundo de Piñera, un Presidente empresario. La legitimidad polìtica del Presidente electo impacta positivamente  en una mayor legitimidad social de los gremios empresariales. </w:t>
      </w:r>
    </w:p>
    <w:p w14:paraId="2AB8C914" w14:textId="77777777" w:rsidR="009C5750" w:rsidRDefault="009C5750" w:rsidP="009C5750"/>
    <w:p w14:paraId="0E06C648" w14:textId="77777777" w:rsidR="009C5750" w:rsidRDefault="009C5750" w:rsidP="009C5750">
      <w:r>
        <w:rPr>
          <w:noProof/>
          <w:lang w:val="es-ES"/>
        </w:rPr>
        <w:drawing>
          <wp:inline distT="0" distB="0" distL="0" distR="0" wp14:anchorId="2CE055D8" wp14:editId="2EFD5510">
            <wp:extent cx="5944235" cy="2079666"/>
            <wp:effectExtent l="0" t="0" r="24765" b="2857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F16C9B" w14:textId="77777777" w:rsidR="009C5750" w:rsidRDefault="009C5750" w:rsidP="009C5750">
      <w:pPr>
        <w:rPr>
          <w:i/>
          <w:sz w:val="20"/>
          <w:szCs w:val="20"/>
        </w:rPr>
      </w:pPr>
      <w:r>
        <w:rPr>
          <w:i/>
          <w:sz w:val="20"/>
          <w:szCs w:val="20"/>
        </w:rPr>
        <w:t>Elaborado en base a Plaza Pública/Cadem/Estudio 207/2/01/18.</w:t>
      </w:r>
    </w:p>
    <w:p w14:paraId="1B5F5AB7" w14:textId="77777777" w:rsidR="002234A7" w:rsidRDefault="002234A7" w:rsidP="00321CA6"/>
    <w:p w14:paraId="58E8CC37" w14:textId="77777777" w:rsidR="00433CD5" w:rsidRDefault="00433CD5" w:rsidP="00321CA6"/>
    <w:p w14:paraId="75EF4F8A" w14:textId="77777777" w:rsidR="00433CD5" w:rsidRDefault="00433CD5" w:rsidP="00321CA6"/>
    <w:p w14:paraId="78CB611B" w14:textId="77777777" w:rsidR="00433CD5" w:rsidRDefault="00433CD5" w:rsidP="00321CA6"/>
    <w:p w14:paraId="624D05BF" w14:textId="0A273D92" w:rsidR="002234A7" w:rsidRPr="008A7BDA" w:rsidRDefault="00154F5D" w:rsidP="00321CA6">
      <w:pPr>
        <w:rPr>
          <w:b/>
        </w:rPr>
      </w:pPr>
      <w:r>
        <w:rPr>
          <w:b/>
        </w:rPr>
        <w:t xml:space="preserve">4.- </w:t>
      </w:r>
      <w:r w:rsidR="002234A7" w:rsidRPr="008A7BDA">
        <w:rPr>
          <w:b/>
        </w:rPr>
        <w:t xml:space="preserve">Confianza </w:t>
      </w:r>
      <w:r w:rsidR="009C5750">
        <w:rPr>
          <w:b/>
        </w:rPr>
        <w:t>con el</w:t>
      </w:r>
      <w:r w:rsidR="002234A7" w:rsidRPr="008A7BDA">
        <w:rPr>
          <w:b/>
        </w:rPr>
        <w:t xml:space="preserve"> Congreso</w:t>
      </w:r>
    </w:p>
    <w:p w14:paraId="135EA20C" w14:textId="77777777" w:rsidR="002234A7" w:rsidRDefault="002234A7" w:rsidP="00D76765"/>
    <w:p w14:paraId="13D3DA2A" w14:textId="03AD07A4" w:rsidR="002234A7" w:rsidRDefault="009C5750" w:rsidP="009C5750">
      <w:pPr>
        <w:jc w:val="both"/>
      </w:pPr>
      <w:r>
        <w:t>El Congreso, tradicionalmente con niveles bajo de aprobación, de acuerdo a la mediciòn analizada, registra un pequeño avance en la confianza ciudadana, durante el año con una fuerte alza de 5 puntos en  mayor confianza institucional en el mes de Diciembre, en el contexto de la elección presidencial. Una h</w:t>
      </w:r>
      <w:r w:rsidR="00AB35AD">
        <w:t xml:space="preserve">ipótesis explicativa </w:t>
      </w:r>
      <w:r w:rsidR="00433CD5">
        <w:t>es que</w:t>
      </w:r>
      <w:r w:rsidR="00AB35AD">
        <w:t xml:space="preserve"> la masividad en la participación electoral en segunda vuelta unido  a</w:t>
      </w:r>
      <w:r w:rsidR="00433CD5">
        <w:t>l triunfo elec</w:t>
      </w:r>
      <w:r>
        <w:t>toral de Piñera</w:t>
      </w:r>
      <w:r w:rsidR="00AB35AD">
        <w:t>,</w:t>
      </w:r>
      <w:r>
        <w:t xml:space="preserve"> haya</w:t>
      </w:r>
      <w:r w:rsidR="00AB35AD">
        <w:t>n</w:t>
      </w:r>
      <w:r>
        <w:t xml:space="preserve"> impactado positivamente</w:t>
      </w:r>
      <w:r w:rsidR="00AB35AD">
        <w:t xml:space="preserve"> en una valorizacion de la democracia y sus instituciones, con  un</w:t>
      </w:r>
      <w:r>
        <w:t xml:space="preserve"> mejoramiento de la confianza en la polìtica y las instituciones polìticas </w:t>
      </w:r>
      <w:r w:rsidR="00AB35AD">
        <w:t xml:space="preserve">, </w:t>
      </w:r>
      <w:r>
        <w:t>como el Congreso.</w:t>
      </w:r>
    </w:p>
    <w:p w14:paraId="4AD4780D" w14:textId="77777777" w:rsidR="009C5750" w:rsidRDefault="009C5750" w:rsidP="009C5750">
      <w:pPr>
        <w:jc w:val="both"/>
      </w:pPr>
    </w:p>
    <w:p w14:paraId="506CA0A5" w14:textId="6A157B77" w:rsidR="009C5750" w:rsidRDefault="009C5750" w:rsidP="009C5750">
      <w:pPr>
        <w:rPr>
          <w:i/>
          <w:sz w:val="20"/>
          <w:szCs w:val="20"/>
        </w:rPr>
      </w:pPr>
      <w:r>
        <w:rPr>
          <w:noProof/>
          <w:lang w:val="es-ES"/>
        </w:rPr>
        <w:drawing>
          <wp:inline distT="0" distB="0" distL="0" distR="0" wp14:anchorId="725BAA09" wp14:editId="41972224">
            <wp:extent cx="5944235" cy="1680538"/>
            <wp:effectExtent l="0" t="0" r="24765" b="2159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i/>
          <w:sz w:val="20"/>
          <w:szCs w:val="20"/>
        </w:rPr>
        <w:t>Elaborado en base a Plaza Pública/Cadem/Estudio 207/2/01/18.</w:t>
      </w:r>
      <w:r w:rsidR="00344211">
        <w:rPr>
          <w:i/>
          <w:sz w:val="20"/>
          <w:szCs w:val="20"/>
        </w:rPr>
        <w:t xml:space="preserve"> </w:t>
      </w:r>
    </w:p>
    <w:p w14:paraId="6DA18FC5" w14:textId="3B26C533" w:rsidR="00344211" w:rsidRPr="00344211" w:rsidRDefault="00344211" w:rsidP="00344211">
      <w:pPr>
        <w:ind w:left="7080"/>
        <w:rPr>
          <w:i/>
        </w:rPr>
      </w:pPr>
      <w:r>
        <w:t xml:space="preserve"> </w:t>
      </w:r>
      <w:r w:rsidRPr="00344211">
        <w:rPr>
          <w:i/>
        </w:rPr>
        <w:t>RPV/11/01/18</w:t>
      </w:r>
    </w:p>
    <w:p w14:paraId="416546C3" w14:textId="77777777" w:rsidR="002234A7" w:rsidRDefault="002234A7" w:rsidP="00D76765"/>
    <w:p w14:paraId="6C87CD55" w14:textId="77777777" w:rsidR="002234A7" w:rsidRDefault="002234A7" w:rsidP="002234A7"/>
    <w:p w14:paraId="30DD31E3" w14:textId="77777777" w:rsidR="002234A7" w:rsidRDefault="002234A7" w:rsidP="002234A7"/>
    <w:p w14:paraId="30CF9C9F" w14:textId="77777777" w:rsidR="002234A7" w:rsidRDefault="002234A7" w:rsidP="002234A7"/>
    <w:p w14:paraId="55F27716" w14:textId="77777777" w:rsidR="002234A7" w:rsidRDefault="002234A7" w:rsidP="00D76765"/>
    <w:p w14:paraId="7DEABC91" w14:textId="77777777" w:rsidR="00841F86" w:rsidRPr="008A7BDA" w:rsidRDefault="00841F86" w:rsidP="00D76765">
      <w:pPr>
        <w:rPr>
          <w:b/>
        </w:rPr>
      </w:pPr>
    </w:p>
    <w:p w14:paraId="1855C168" w14:textId="77777777" w:rsidR="00841F86" w:rsidRPr="002234A7" w:rsidRDefault="00841F86" w:rsidP="00D76765"/>
    <w:sectPr w:rsidR="00841F86" w:rsidRPr="002234A7" w:rsidSect="005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DB"/>
    <w:rsid w:val="00154F5D"/>
    <w:rsid w:val="002234A7"/>
    <w:rsid w:val="00227FDF"/>
    <w:rsid w:val="00321CA6"/>
    <w:rsid w:val="00344211"/>
    <w:rsid w:val="00433CD5"/>
    <w:rsid w:val="005152E5"/>
    <w:rsid w:val="0054286D"/>
    <w:rsid w:val="00636D78"/>
    <w:rsid w:val="00841F86"/>
    <w:rsid w:val="008A7BDA"/>
    <w:rsid w:val="008F26D5"/>
    <w:rsid w:val="009C5750"/>
    <w:rsid w:val="009D25DB"/>
    <w:rsid w:val="00A65B60"/>
    <w:rsid w:val="00AB35AD"/>
    <w:rsid w:val="00B13787"/>
    <w:rsid w:val="00B15281"/>
    <w:rsid w:val="00D76765"/>
    <w:rsid w:val="00E60322"/>
    <w:rsid w:val="00EE6AA2"/>
    <w:rsid w:val="00F772DF"/>
    <w:rsid w:val="00F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EC0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D2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2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76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7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D2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2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76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7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obinsonperez:Desktop:coyuntura%20:datos%20confianza%202017%20cade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obinsonperez:Desktop:coyuntura%20:datos%20confianza%202017%20cade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obinsonperez:Desktop:coyuntura%20:datos%20confianza%202017%20cade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obinsonperez:Desktop:coyuntura%20:datos%20confianza%202017%20cade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obinsonperez:Desktop:coyuntura%20:datos%20confianza%202017%20cade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s-ES" sz="1100"/>
              <a:t>Mucha y bastante confianza en Carabineros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Hoja1!$H$58:$H$59</c:f>
              <c:strCache>
                <c:ptCount val="1"/>
                <c:pt idx="0">
                  <c:v>Mucha confianza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0.00472533963378622"/>
                  <c:y val="-0.0444254620374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212640283520379"/>
                  <c:y val="-0.05831412427073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Hoja1!$G$60:$G$61</c:f>
              <c:numCache>
                <c:formatCode>General</c:formatCode>
                <c:ptCount val="2"/>
                <c:pt idx="0">
                  <c:v>2016.0</c:v>
                </c:pt>
                <c:pt idx="1">
                  <c:v>2017.0</c:v>
                </c:pt>
              </c:numCache>
            </c:numRef>
          </c:cat>
          <c:val>
            <c:numRef>
              <c:f>Hoja1!$H$60:$H$61</c:f>
              <c:numCache>
                <c:formatCode>General</c:formatCode>
                <c:ptCount val="2"/>
                <c:pt idx="0">
                  <c:v>56.0</c:v>
                </c:pt>
                <c:pt idx="1">
                  <c:v>44.0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14846632"/>
        <c:axId val="2114862152"/>
        <c:axId val="0"/>
      </c:bar3DChart>
      <c:catAx>
        <c:axId val="2114846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4862152"/>
        <c:crosses val="autoZero"/>
        <c:auto val="1"/>
        <c:lblAlgn val="ctr"/>
        <c:lblOffset val="100"/>
        <c:noMultiLvlLbl val="0"/>
      </c:catAx>
      <c:valAx>
        <c:axId val="2114862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4846632"/>
        <c:crosses val="autoZero"/>
        <c:crossBetween val="between"/>
      </c:valAx>
      <c:spPr>
        <a:solidFill>
          <a:schemeClr val="bg2"/>
        </a:solidFill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ES" sz="1200"/>
              <a:t>Confianza en Carabineros 2017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597204724409449"/>
          <c:y val="0.231481481481481"/>
          <c:w val="0.890520778652668"/>
          <c:h val="0.532859798775153"/>
        </c:manualLayout>
      </c:layout>
      <c:lineChart>
        <c:grouping val="standard"/>
        <c:varyColors val="0"/>
        <c:ser>
          <c:idx val="0"/>
          <c:order val="0"/>
          <c:tx>
            <c:strRef>
              <c:f>Hoja1!$H$3</c:f>
              <c:strCache>
                <c:ptCount val="1"/>
                <c:pt idx="0">
                  <c:v>Carabineros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0.0348545910031587"/>
                  <c:y val="-0.0665114732291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108922312169861"/>
                  <c:y val="0.0133022946458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Hoja1!$G$5:$G$15</c:f>
              <c:strCache>
                <c:ptCount val="11"/>
                <c:pt idx="0">
                  <c:v>Febrero</c:v>
                </c:pt>
                <c:pt idx="1">
                  <c:v>Marzo</c:v>
                </c:pt>
                <c:pt idx="2">
                  <c:v>Abril</c:v>
                </c:pt>
                <c:pt idx="3">
                  <c:v>Mayo</c:v>
                </c:pt>
                <c:pt idx="4">
                  <c:v>Junio</c:v>
                </c:pt>
                <c:pt idx="5">
                  <c:v>Julio</c:v>
                </c:pt>
                <c:pt idx="6">
                  <c:v>Agosto</c:v>
                </c:pt>
                <c:pt idx="7">
                  <c:v>Septiembre</c:v>
                </c:pt>
                <c:pt idx="8">
                  <c:v>Octubre</c:v>
                </c:pt>
                <c:pt idx="9">
                  <c:v>Noviembre</c:v>
                </c:pt>
                <c:pt idx="10">
                  <c:v>Diciembre</c:v>
                </c:pt>
              </c:strCache>
            </c:strRef>
          </c:cat>
          <c:val>
            <c:numRef>
              <c:f>Hoja1!$H$5:$H$15</c:f>
              <c:numCache>
                <c:formatCode>General</c:formatCode>
                <c:ptCount val="11"/>
                <c:pt idx="0">
                  <c:v>77.0</c:v>
                </c:pt>
                <c:pt idx="1">
                  <c:v>65.0</c:v>
                </c:pt>
                <c:pt idx="2">
                  <c:v>61.0</c:v>
                </c:pt>
                <c:pt idx="3">
                  <c:v>60.0</c:v>
                </c:pt>
                <c:pt idx="4">
                  <c:v>54.0</c:v>
                </c:pt>
                <c:pt idx="5">
                  <c:v>52.0</c:v>
                </c:pt>
                <c:pt idx="6">
                  <c:v>45.0</c:v>
                </c:pt>
                <c:pt idx="7">
                  <c:v>53.0</c:v>
                </c:pt>
                <c:pt idx="8">
                  <c:v>55.0</c:v>
                </c:pt>
                <c:pt idx="9">
                  <c:v>58.0</c:v>
                </c:pt>
                <c:pt idx="10">
                  <c:v>62.0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0202536"/>
        <c:axId val="2130205352"/>
      </c:lineChart>
      <c:catAx>
        <c:axId val="2130202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s-ES"/>
          </a:p>
        </c:txPr>
        <c:crossAx val="2130205352"/>
        <c:crosses val="autoZero"/>
        <c:auto val="1"/>
        <c:lblAlgn val="ctr"/>
        <c:lblOffset val="100"/>
        <c:noMultiLvlLbl val="0"/>
      </c:catAx>
      <c:valAx>
        <c:axId val="2130205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0202536"/>
        <c:crosses val="autoZero"/>
        <c:crossBetween val="between"/>
      </c:valAx>
      <c:spPr>
        <a:solidFill>
          <a:schemeClr val="bg2"/>
        </a:solidFill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solidFill>
        <a:srgbClr val="FFFFFF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ES" sz="1200"/>
              <a:t>Confianza</a:t>
            </a:r>
            <a:r>
              <a:rPr lang="es-ES" sz="1200" baseline="0"/>
              <a:t> en la I</a:t>
            </a:r>
            <a:r>
              <a:rPr lang="es-ES" sz="1200"/>
              <a:t>glesia Católica 2017</a:t>
            </a:r>
          </a:p>
        </c:rich>
      </c:tx>
      <c:layout>
        <c:manualLayout>
          <c:xMode val="edge"/>
          <c:yMode val="edge"/>
          <c:x val="0.255824146981627"/>
          <c:y val="0.0231481481481481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Hoja1!$K$3</c:f>
              <c:strCache>
                <c:ptCount val="1"/>
                <c:pt idx="0">
                  <c:v>Iglesia Catol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0.0388888888888889"/>
                  <c:y val="-0.032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222222222222222"/>
                  <c:y val="-0.02314814814814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25"/>
                  <c:y val="0.01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444444444444444"/>
                  <c:y val="-0.032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194444444444444"/>
                  <c:y val="0.02314814814814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0"/>
                  <c:y val="0.032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0555555555555555"/>
                  <c:y val="0.013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0222222222222222"/>
                  <c:y val="-0.02777777777777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0194444444444444"/>
                  <c:y val="-0.03240777194517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0111111111111113"/>
                  <c:y val="-0.0185185185185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Hoja1!$G$5:$G$15</c:f>
              <c:strCache>
                <c:ptCount val="11"/>
                <c:pt idx="0">
                  <c:v>Febrero</c:v>
                </c:pt>
                <c:pt idx="1">
                  <c:v>Marzo</c:v>
                </c:pt>
                <c:pt idx="2">
                  <c:v>Abril</c:v>
                </c:pt>
                <c:pt idx="3">
                  <c:v>Mayo</c:v>
                </c:pt>
                <c:pt idx="4">
                  <c:v>Junio</c:v>
                </c:pt>
                <c:pt idx="5">
                  <c:v>Julio</c:v>
                </c:pt>
                <c:pt idx="6">
                  <c:v>Agosto</c:v>
                </c:pt>
                <c:pt idx="7">
                  <c:v>Septiembre</c:v>
                </c:pt>
                <c:pt idx="8">
                  <c:v>Octubre</c:v>
                </c:pt>
                <c:pt idx="9">
                  <c:v>Noviembre</c:v>
                </c:pt>
                <c:pt idx="10">
                  <c:v>Diciembre</c:v>
                </c:pt>
              </c:strCache>
            </c:strRef>
          </c:cat>
          <c:val>
            <c:numRef>
              <c:f>Hoja1!$K$5:$K$15</c:f>
              <c:numCache>
                <c:formatCode>General</c:formatCode>
                <c:ptCount val="11"/>
                <c:pt idx="0">
                  <c:v>35.0</c:v>
                </c:pt>
                <c:pt idx="1">
                  <c:v>33.0</c:v>
                </c:pt>
                <c:pt idx="2">
                  <c:v>29.0</c:v>
                </c:pt>
                <c:pt idx="3">
                  <c:v>34.0</c:v>
                </c:pt>
                <c:pt idx="4">
                  <c:v>31.0</c:v>
                </c:pt>
                <c:pt idx="5">
                  <c:v>32.0</c:v>
                </c:pt>
                <c:pt idx="6">
                  <c:v>33.0</c:v>
                </c:pt>
                <c:pt idx="7">
                  <c:v>34.0</c:v>
                </c:pt>
                <c:pt idx="8">
                  <c:v>32.0</c:v>
                </c:pt>
                <c:pt idx="9">
                  <c:v>32.0</c:v>
                </c:pt>
                <c:pt idx="10">
                  <c:v>31.0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0245896"/>
        <c:axId val="2130248904"/>
      </c:lineChart>
      <c:catAx>
        <c:axId val="2130245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s-ES"/>
          </a:p>
        </c:txPr>
        <c:crossAx val="2130248904"/>
        <c:crosses val="autoZero"/>
        <c:auto val="1"/>
        <c:lblAlgn val="ctr"/>
        <c:lblOffset val="100"/>
        <c:noMultiLvlLbl val="0"/>
      </c:catAx>
      <c:valAx>
        <c:axId val="2130248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0245896"/>
        <c:crosses val="autoZero"/>
        <c:crossBetween val="between"/>
      </c:valAx>
      <c:spPr>
        <a:solidFill>
          <a:schemeClr val="bg2"/>
        </a:solidFill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solidFill>
        <a:srgbClr val="FFFFFF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ES" sz="1200"/>
              <a:t>Confianza con</a:t>
            </a:r>
            <a:r>
              <a:rPr lang="es-ES" sz="1200" baseline="0"/>
              <a:t> los</a:t>
            </a:r>
            <a:r>
              <a:rPr lang="es-ES" sz="1200"/>
              <a:t> gremios</a:t>
            </a:r>
            <a:r>
              <a:rPr lang="es-ES" sz="1200" baseline="0"/>
              <a:t> empresariales 2017</a:t>
            </a:r>
            <a:endParaRPr lang="es-ES" sz="12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Hoja1!#¡REF!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strRef>
              <c:f>Hoja1!$G$5:$G$15</c:f>
              <c:strCache>
                <c:ptCount val="11"/>
                <c:pt idx="0">
                  <c:v>Febrero</c:v>
                </c:pt>
                <c:pt idx="1">
                  <c:v>Marzo</c:v>
                </c:pt>
                <c:pt idx="2">
                  <c:v>Abril</c:v>
                </c:pt>
                <c:pt idx="3">
                  <c:v>Mayo</c:v>
                </c:pt>
                <c:pt idx="4">
                  <c:v>Junio</c:v>
                </c:pt>
                <c:pt idx="5">
                  <c:v>Julio</c:v>
                </c:pt>
                <c:pt idx="6">
                  <c:v>Agosto</c:v>
                </c:pt>
                <c:pt idx="7">
                  <c:v>Septiembre</c:v>
                </c:pt>
                <c:pt idx="8">
                  <c:v>Octubre</c:v>
                </c:pt>
                <c:pt idx="9">
                  <c:v>Noviembre</c:v>
                </c:pt>
                <c:pt idx="10">
                  <c:v>Diciembre</c:v>
                </c:pt>
              </c:strCache>
            </c:strRef>
          </c:cat>
          <c:val>
            <c:numRef>
              <c:f>Hoja1!#¡REF!</c:f>
              <c:numCache>
                <c:formatCode>General</c:formatCode>
                <c:ptCount val="1"/>
                <c:pt idx="0">
                  <c:v>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Hoja1!$I$3</c:f>
              <c:strCache>
                <c:ptCount val="1"/>
                <c:pt idx="0">
                  <c:v>gremios</c:v>
                </c:pt>
              </c:strCache>
            </c:strRef>
          </c:tx>
          <c:marker>
            <c:symbol val="none"/>
          </c:marker>
          <c:cat>
            <c:strRef>
              <c:f>Hoja1!$G$5:$G$15</c:f>
              <c:strCache>
                <c:ptCount val="11"/>
                <c:pt idx="0">
                  <c:v>Febrero</c:v>
                </c:pt>
                <c:pt idx="1">
                  <c:v>Marzo</c:v>
                </c:pt>
                <c:pt idx="2">
                  <c:v>Abril</c:v>
                </c:pt>
                <c:pt idx="3">
                  <c:v>Mayo</c:v>
                </c:pt>
                <c:pt idx="4">
                  <c:v>Junio</c:v>
                </c:pt>
                <c:pt idx="5">
                  <c:v>Julio</c:v>
                </c:pt>
                <c:pt idx="6">
                  <c:v>Agosto</c:v>
                </c:pt>
                <c:pt idx="7">
                  <c:v>Septiembre</c:v>
                </c:pt>
                <c:pt idx="8">
                  <c:v>Octubre</c:v>
                </c:pt>
                <c:pt idx="9">
                  <c:v>Noviembre</c:v>
                </c:pt>
                <c:pt idx="10">
                  <c:v>Diciembre</c:v>
                </c:pt>
              </c:strCache>
            </c:strRef>
          </c:cat>
          <c:val>
            <c:numRef>
              <c:f>Hoja1!$I$5:$I$15</c:f>
              <c:numCache>
                <c:formatCode>General</c:formatCode>
                <c:ptCount val="11"/>
                <c:pt idx="0">
                  <c:v>29.0</c:v>
                </c:pt>
                <c:pt idx="1">
                  <c:v>30.0</c:v>
                </c:pt>
                <c:pt idx="2">
                  <c:v>34.0</c:v>
                </c:pt>
                <c:pt idx="3">
                  <c:v>35.0</c:v>
                </c:pt>
                <c:pt idx="4">
                  <c:v>32.0</c:v>
                </c:pt>
                <c:pt idx="5">
                  <c:v>35.0</c:v>
                </c:pt>
                <c:pt idx="6">
                  <c:v>36.0</c:v>
                </c:pt>
                <c:pt idx="7">
                  <c:v>33.0</c:v>
                </c:pt>
                <c:pt idx="8">
                  <c:v>34.0</c:v>
                </c:pt>
                <c:pt idx="9">
                  <c:v>33.0</c:v>
                </c:pt>
                <c:pt idx="10">
                  <c:v>39.0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0281640"/>
        <c:axId val="2130284648"/>
      </c:lineChart>
      <c:catAx>
        <c:axId val="2130281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s-ES"/>
          </a:p>
        </c:txPr>
        <c:crossAx val="2130284648"/>
        <c:crosses val="autoZero"/>
        <c:auto val="1"/>
        <c:lblAlgn val="ctr"/>
        <c:lblOffset val="100"/>
        <c:noMultiLvlLbl val="0"/>
      </c:catAx>
      <c:valAx>
        <c:axId val="2130284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0281640"/>
        <c:crosses val="autoZero"/>
        <c:crossBetween val="between"/>
      </c:valAx>
      <c:spPr>
        <a:solidFill>
          <a:schemeClr val="bg2"/>
        </a:solidFill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solidFill>
        <a:srgbClr val="FFFFFF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ES" sz="1200"/>
              <a:t>Confianza en Congreso 2017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Hoja1!$J$3</c:f>
              <c:strCache>
                <c:ptCount val="1"/>
                <c:pt idx="0">
                  <c:v>Congreso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0.0149556671295802"/>
                  <c:y val="0.06139154160982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027774810383506"/>
                  <c:y val="-0.02728512960436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Hoja1!$G$5:$G$15</c:f>
              <c:strCache>
                <c:ptCount val="11"/>
                <c:pt idx="0">
                  <c:v>Febrero</c:v>
                </c:pt>
                <c:pt idx="1">
                  <c:v>Marzo</c:v>
                </c:pt>
                <c:pt idx="2">
                  <c:v>Abril</c:v>
                </c:pt>
                <c:pt idx="3">
                  <c:v>Mayo</c:v>
                </c:pt>
                <c:pt idx="4">
                  <c:v>Junio</c:v>
                </c:pt>
                <c:pt idx="5">
                  <c:v>Julio</c:v>
                </c:pt>
                <c:pt idx="6">
                  <c:v>Agosto</c:v>
                </c:pt>
                <c:pt idx="7">
                  <c:v>Septiembre</c:v>
                </c:pt>
                <c:pt idx="8">
                  <c:v>Octubre</c:v>
                </c:pt>
                <c:pt idx="9">
                  <c:v>Noviembre</c:v>
                </c:pt>
                <c:pt idx="10">
                  <c:v>Diciembre</c:v>
                </c:pt>
              </c:strCache>
            </c:strRef>
          </c:cat>
          <c:val>
            <c:numRef>
              <c:f>Hoja1!$J$5:$J$15</c:f>
              <c:numCache>
                <c:formatCode>General</c:formatCode>
                <c:ptCount val="11"/>
                <c:pt idx="0">
                  <c:v>10.0</c:v>
                </c:pt>
                <c:pt idx="1">
                  <c:v>12.0</c:v>
                </c:pt>
                <c:pt idx="2">
                  <c:v>12.0</c:v>
                </c:pt>
                <c:pt idx="3">
                  <c:v>12.0</c:v>
                </c:pt>
                <c:pt idx="4">
                  <c:v>11.0</c:v>
                </c:pt>
                <c:pt idx="5">
                  <c:v>13.0</c:v>
                </c:pt>
                <c:pt idx="6">
                  <c:v>13.0</c:v>
                </c:pt>
                <c:pt idx="7">
                  <c:v>14.0</c:v>
                </c:pt>
                <c:pt idx="8">
                  <c:v>15.0</c:v>
                </c:pt>
                <c:pt idx="9">
                  <c:v>13.0</c:v>
                </c:pt>
                <c:pt idx="10">
                  <c:v>19.0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0313736"/>
        <c:axId val="2130316552"/>
      </c:lineChart>
      <c:catAx>
        <c:axId val="2130313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s-ES"/>
          </a:p>
        </c:txPr>
        <c:crossAx val="2130316552"/>
        <c:crosses val="autoZero"/>
        <c:auto val="1"/>
        <c:lblAlgn val="ctr"/>
        <c:lblOffset val="100"/>
        <c:noMultiLvlLbl val="0"/>
      </c:catAx>
      <c:valAx>
        <c:axId val="2130316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0313736"/>
        <c:crosses val="autoZero"/>
        <c:crossBetween val="between"/>
      </c:valAx>
      <c:spPr>
        <a:solidFill>
          <a:schemeClr val="bg2"/>
        </a:solidFill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solidFill>
        <a:srgbClr val="FFFFFF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5201</Characters>
  <Application>Microsoft Macintosh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Perez</dc:creator>
  <cp:keywords/>
  <dc:description/>
  <cp:lastModifiedBy>Robinson Perez</cp:lastModifiedBy>
  <cp:revision>2</cp:revision>
  <dcterms:created xsi:type="dcterms:W3CDTF">2018-01-25T21:56:00Z</dcterms:created>
  <dcterms:modified xsi:type="dcterms:W3CDTF">2018-01-25T21:56:00Z</dcterms:modified>
</cp:coreProperties>
</file>