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547" w:rsidRPr="001E3635" w:rsidRDefault="006B5547" w:rsidP="00C24170">
      <w:pPr>
        <w:spacing w:line="240" w:lineRule="auto"/>
        <w:jc w:val="center"/>
        <w:rPr>
          <w:rFonts w:ascii="Garamond" w:hAnsi="Garamond"/>
          <w:b/>
          <w:sz w:val="24"/>
          <w:szCs w:val="24"/>
        </w:rPr>
      </w:pPr>
      <w:r w:rsidRPr="001E3635">
        <w:rPr>
          <w:rFonts w:ascii="Garamond" w:hAnsi="Garamond"/>
          <w:b/>
          <w:sz w:val="24"/>
          <w:szCs w:val="24"/>
        </w:rPr>
        <w:t>Minuta</w:t>
      </w:r>
    </w:p>
    <w:p w:rsidR="006B5547" w:rsidRPr="001E3635" w:rsidRDefault="006B5547" w:rsidP="00C24170">
      <w:pPr>
        <w:spacing w:line="240" w:lineRule="auto"/>
        <w:jc w:val="center"/>
        <w:rPr>
          <w:rFonts w:ascii="Garamond" w:hAnsi="Garamond"/>
          <w:b/>
          <w:sz w:val="24"/>
          <w:szCs w:val="24"/>
        </w:rPr>
      </w:pPr>
      <w:r w:rsidRPr="001E3635">
        <w:rPr>
          <w:rFonts w:ascii="Garamond" w:hAnsi="Garamond"/>
          <w:b/>
          <w:sz w:val="24"/>
          <w:szCs w:val="24"/>
        </w:rPr>
        <w:t>Proyecto de Ley que regula entrevistas grabadas en vídeo y otras medidas de resguardo a menores de edad víctimas de delitos sexuales</w:t>
      </w:r>
    </w:p>
    <w:p w:rsidR="006B5547" w:rsidRPr="001E3635" w:rsidRDefault="006B5547" w:rsidP="00C24170">
      <w:pPr>
        <w:spacing w:line="240" w:lineRule="auto"/>
        <w:jc w:val="both"/>
        <w:rPr>
          <w:rFonts w:ascii="Garamond" w:hAnsi="Garamond"/>
          <w:sz w:val="24"/>
          <w:szCs w:val="24"/>
        </w:rPr>
      </w:pPr>
    </w:p>
    <w:p w:rsidR="006B5547" w:rsidRPr="001E3635" w:rsidRDefault="006B5547" w:rsidP="00C24170">
      <w:pPr>
        <w:spacing w:line="240" w:lineRule="auto"/>
        <w:jc w:val="right"/>
        <w:rPr>
          <w:rFonts w:ascii="Garamond" w:hAnsi="Garamond"/>
          <w:sz w:val="24"/>
          <w:szCs w:val="24"/>
        </w:rPr>
      </w:pPr>
      <w:r w:rsidRPr="001E3635">
        <w:rPr>
          <w:rFonts w:ascii="Garamond" w:hAnsi="Garamond"/>
          <w:sz w:val="24"/>
          <w:szCs w:val="24"/>
        </w:rPr>
        <w:t>Boletín Nº 9.245-07</w:t>
      </w:r>
    </w:p>
    <w:p w:rsidR="006B5547" w:rsidRPr="001E3635" w:rsidRDefault="00547650" w:rsidP="00C24170">
      <w:pPr>
        <w:spacing w:line="240" w:lineRule="auto"/>
        <w:jc w:val="right"/>
        <w:rPr>
          <w:rFonts w:ascii="Garamond" w:hAnsi="Garamond"/>
          <w:sz w:val="24"/>
          <w:szCs w:val="24"/>
        </w:rPr>
      </w:pPr>
      <w:r w:rsidRPr="001E3635">
        <w:rPr>
          <w:rFonts w:ascii="Garamond" w:hAnsi="Garamond"/>
          <w:sz w:val="24"/>
          <w:szCs w:val="24"/>
        </w:rPr>
        <w:t>10 de octubre</w:t>
      </w:r>
      <w:r w:rsidR="006B5547" w:rsidRPr="001E3635">
        <w:rPr>
          <w:rFonts w:ascii="Garamond" w:hAnsi="Garamond"/>
          <w:sz w:val="24"/>
          <w:szCs w:val="24"/>
        </w:rPr>
        <w:t xml:space="preserve"> de 2017</w:t>
      </w:r>
    </w:p>
    <w:p w:rsidR="006B5547" w:rsidRPr="001E3635" w:rsidRDefault="006B5547" w:rsidP="00C24170">
      <w:pPr>
        <w:numPr>
          <w:ilvl w:val="0"/>
          <w:numId w:val="3"/>
        </w:numPr>
        <w:spacing w:line="240" w:lineRule="auto"/>
        <w:jc w:val="both"/>
        <w:rPr>
          <w:rFonts w:ascii="Garamond" w:hAnsi="Garamond"/>
          <w:sz w:val="24"/>
          <w:szCs w:val="24"/>
        </w:rPr>
      </w:pPr>
      <w:r w:rsidRPr="001E3635">
        <w:rPr>
          <w:rFonts w:ascii="Garamond" w:hAnsi="Garamond"/>
          <w:sz w:val="24"/>
          <w:szCs w:val="24"/>
        </w:rPr>
        <w:t>Estado de tramitación</w:t>
      </w:r>
    </w:p>
    <w:p w:rsidR="006B5547" w:rsidRPr="001E3635" w:rsidRDefault="006B5547" w:rsidP="00C24170">
      <w:pPr>
        <w:spacing w:line="240" w:lineRule="auto"/>
        <w:jc w:val="both"/>
        <w:rPr>
          <w:rFonts w:ascii="Garamond" w:hAnsi="Garamond"/>
          <w:sz w:val="24"/>
          <w:szCs w:val="24"/>
        </w:rPr>
      </w:pPr>
    </w:p>
    <w:p w:rsidR="006B5547" w:rsidRPr="001E3635" w:rsidRDefault="006B5547" w:rsidP="00C24170">
      <w:pPr>
        <w:spacing w:line="240" w:lineRule="auto"/>
        <w:jc w:val="both"/>
        <w:rPr>
          <w:rFonts w:ascii="Garamond" w:hAnsi="Garamond"/>
          <w:sz w:val="24"/>
          <w:szCs w:val="24"/>
        </w:rPr>
      </w:pPr>
      <w:r w:rsidRPr="001E3635">
        <w:rPr>
          <w:rFonts w:ascii="Garamond" w:hAnsi="Garamond"/>
          <w:sz w:val="24"/>
          <w:szCs w:val="24"/>
        </w:rPr>
        <w:t>Origen:</w:t>
      </w:r>
      <w:r w:rsidRPr="001E3635">
        <w:rPr>
          <w:rFonts w:ascii="Garamond" w:hAnsi="Garamond"/>
          <w:sz w:val="24"/>
          <w:szCs w:val="24"/>
        </w:rPr>
        <w:tab/>
      </w:r>
      <w:r w:rsidRPr="001E3635">
        <w:rPr>
          <w:rFonts w:ascii="Garamond" w:hAnsi="Garamond"/>
          <w:sz w:val="24"/>
          <w:szCs w:val="24"/>
        </w:rPr>
        <w:tab/>
      </w:r>
      <w:r w:rsidRPr="001E3635">
        <w:rPr>
          <w:rFonts w:ascii="Garamond" w:hAnsi="Garamond"/>
          <w:sz w:val="24"/>
          <w:szCs w:val="24"/>
        </w:rPr>
        <w:tab/>
      </w:r>
      <w:r w:rsidRPr="001E3635">
        <w:rPr>
          <w:rFonts w:ascii="Garamond" w:hAnsi="Garamond"/>
          <w:sz w:val="24"/>
          <w:szCs w:val="24"/>
        </w:rPr>
        <w:tab/>
        <w:t>Mensaje presidencial</w:t>
      </w:r>
    </w:p>
    <w:p w:rsidR="006B5547" w:rsidRPr="001E3635" w:rsidRDefault="006B5547" w:rsidP="00C24170">
      <w:pPr>
        <w:spacing w:line="240" w:lineRule="auto"/>
        <w:jc w:val="both"/>
        <w:rPr>
          <w:rFonts w:ascii="Garamond" w:hAnsi="Garamond"/>
          <w:sz w:val="24"/>
          <w:szCs w:val="24"/>
        </w:rPr>
      </w:pPr>
      <w:r w:rsidRPr="001E3635">
        <w:rPr>
          <w:rFonts w:ascii="Garamond" w:hAnsi="Garamond"/>
          <w:sz w:val="24"/>
          <w:szCs w:val="24"/>
        </w:rPr>
        <w:t xml:space="preserve">Trámite </w:t>
      </w:r>
      <w:r w:rsidR="00E84315" w:rsidRPr="001E3635">
        <w:rPr>
          <w:rFonts w:ascii="Garamond" w:hAnsi="Garamond"/>
          <w:sz w:val="24"/>
          <w:szCs w:val="24"/>
        </w:rPr>
        <w:t>Constitucional:</w:t>
      </w:r>
      <w:r w:rsidR="00E84315" w:rsidRPr="001E3635">
        <w:rPr>
          <w:rFonts w:ascii="Garamond" w:hAnsi="Garamond"/>
          <w:sz w:val="24"/>
          <w:szCs w:val="24"/>
        </w:rPr>
        <w:tab/>
        <w:t>Tercer</w:t>
      </w:r>
      <w:r w:rsidRPr="001E3635">
        <w:rPr>
          <w:rFonts w:ascii="Garamond" w:hAnsi="Garamond"/>
          <w:sz w:val="24"/>
          <w:szCs w:val="24"/>
        </w:rPr>
        <w:t xml:space="preserve"> Trámite Constitucional</w:t>
      </w:r>
    </w:p>
    <w:p w:rsidR="006B5547" w:rsidRPr="001E3635" w:rsidRDefault="006B5547" w:rsidP="00C24170">
      <w:pPr>
        <w:spacing w:line="240" w:lineRule="auto"/>
        <w:jc w:val="both"/>
        <w:rPr>
          <w:rFonts w:ascii="Garamond" w:hAnsi="Garamond"/>
          <w:sz w:val="24"/>
          <w:szCs w:val="24"/>
        </w:rPr>
      </w:pPr>
      <w:r w:rsidRPr="001E3635">
        <w:rPr>
          <w:rFonts w:ascii="Garamond" w:hAnsi="Garamond"/>
          <w:sz w:val="24"/>
          <w:szCs w:val="24"/>
        </w:rPr>
        <w:t xml:space="preserve">Urgencia: </w:t>
      </w:r>
      <w:r w:rsidRPr="001E3635">
        <w:rPr>
          <w:rFonts w:ascii="Garamond" w:hAnsi="Garamond"/>
          <w:sz w:val="24"/>
          <w:szCs w:val="24"/>
        </w:rPr>
        <w:tab/>
      </w:r>
      <w:r w:rsidRPr="001E3635">
        <w:rPr>
          <w:rFonts w:ascii="Garamond" w:hAnsi="Garamond"/>
          <w:sz w:val="24"/>
          <w:szCs w:val="24"/>
        </w:rPr>
        <w:tab/>
      </w:r>
      <w:r w:rsidRPr="001E3635">
        <w:rPr>
          <w:rFonts w:ascii="Garamond" w:hAnsi="Garamond"/>
          <w:sz w:val="24"/>
          <w:szCs w:val="24"/>
        </w:rPr>
        <w:tab/>
        <w:t>Suma</w:t>
      </w:r>
    </w:p>
    <w:p w:rsidR="006B5547" w:rsidRPr="001E3635" w:rsidRDefault="006B5547" w:rsidP="00C24170">
      <w:pPr>
        <w:spacing w:line="240" w:lineRule="auto"/>
        <w:jc w:val="both"/>
        <w:rPr>
          <w:rFonts w:ascii="Garamond" w:hAnsi="Garamond"/>
          <w:sz w:val="24"/>
          <w:szCs w:val="24"/>
        </w:rPr>
      </w:pPr>
      <w:r w:rsidRPr="001E3635">
        <w:rPr>
          <w:rFonts w:ascii="Garamond" w:hAnsi="Garamond"/>
          <w:sz w:val="24"/>
          <w:szCs w:val="24"/>
        </w:rPr>
        <w:t>Trámite Reglamentario:</w:t>
      </w:r>
      <w:r w:rsidRPr="001E3635">
        <w:rPr>
          <w:rFonts w:ascii="Garamond" w:hAnsi="Garamond"/>
          <w:sz w:val="24"/>
          <w:szCs w:val="24"/>
        </w:rPr>
        <w:tab/>
        <w:t xml:space="preserve">Discusión </w:t>
      </w:r>
      <w:r w:rsidR="00BE71F5">
        <w:rPr>
          <w:rFonts w:ascii="Garamond" w:hAnsi="Garamond"/>
          <w:sz w:val="24"/>
          <w:szCs w:val="24"/>
        </w:rPr>
        <w:t>única</w:t>
      </w:r>
    </w:p>
    <w:p w:rsidR="006B5547" w:rsidRPr="001E3635" w:rsidRDefault="006B5547" w:rsidP="00C24170">
      <w:pPr>
        <w:spacing w:line="240" w:lineRule="auto"/>
        <w:jc w:val="both"/>
        <w:rPr>
          <w:rFonts w:ascii="Garamond" w:hAnsi="Garamond"/>
          <w:sz w:val="24"/>
          <w:szCs w:val="24"/>
        </w:rPr>
      </w:pPr>
    </w:p>
    <w:p w:rsidR="006B5547" w:rsidRPr="001E3635" w:rsidRDefault="00C24170" w:rsidP="00C24170">
      <w:pPr>
        <w:numPr>
          <w:ilvl w:val="0"/>
          <w:numId w:val="3"/>
        </w:numPr>
        <w:spacing w:line="240" w:lineRule="auto"/>
        <w:jc w:val="both"/>
        <w:rPr>
          <w:rFonts w:ascii="Garamond" w:hAnsi="Garamond"/>
          <w:sz w:val="24"/>
          <w:szCs w:val="24"/>
        </w:rPr>
      </w:pPr>
      <w:r w:rsidRPr="001E3635">
        <w:rPr>
          <w:rFonts w:ascii="Garamond" w:hAnsi="Garamond"/>
          <w:sz w:val="24"/>
          <w:szCs w:val="24"/>
        </w:rPr>
        <w:t>Intervención</w:t>
      </w:r>
      <w:r w:rsidR="00F44134" w:rsidRPr="001E3635">
        <w:rPr>
          <w:rFonts w:ascii="Garamond" w:hAnsi="Garamond"/>
          <w:sz w:val="24"/>
          <w:szCs w:val="24"/>
        </w:rPr>
        <w:t>:</w:t>
      </w:r>
    </w:p>
    <w:p w:rsidR="00F44134" w:rsidRPr="001E3635" w:rsidRDefault="00F44134" w:rsidP="00C24170">
      <w:pPr>
        <w:spacing w:line="240" w:lineRule="auto"/>
        <w:ind w:left="1080"/>
        <w:jc w:val="both"/>
        <w:rPr>
          <w:rFonts w:ascii="Garamond" w:hAnsi="Garamond"/>
          <w:sz w:val="24"/>
          <w:szCs w:val="24"/>
        </w:rPr>
      </w:pPr>
    </w:p>
    <w:p w:rsidR="00E84315" w:rsidRPr="001E3635" w:rsidRDefault="00F44134" w:rsidP="00C24170">
      <w:pPr>
        <w:spacing w:line="240" w:lineRule="auto"/>
        <w:jc w:val="both"/>
        <w:rPr>
          <w:rFonts w:ascii="Garamond" w:hAnsi="Garamond"/>
          <w:sz w:val="24"/>
          <w:szCs w:val="24"/>
        </w:rPr>
      </w:pPr>
      <w:r w:rsidRPr="001E3635">
        <w:rPr>
          <w:rFonts w:ascii="Garamond" w:hAnsi="Garamond"/>
          <w:sz w:val="24"/>
          <w:szCs w:val="24"/>
        </w:rPr>
        <w:t>E</w:t>
      </w:r>
      <w:r w:rsidR="00E84315" w:rsidRPr="001E3635">
        <w:rPr>
          <w:rFonts w:ascii="Garamond" w:hAnsi="Garamond"/>
          <w:sz w:val="24"/>
          <w:szCs w:val="24"/>
        </w:rPr>
        <w:t>n primer lugar, quiero saludar y agradecer la presencia y la participación de todas y todos quienes hoy nos acompañan, en un día tan importante para nuestros niños, niñas y adolescentes.</w:t>
      </w:r>
    </w:p>
    <w:p w:rsidR="00865C1E" w:rsidRPr="001E3635" w:rsidRDefault="00E84315" w:rsidP="00C24170">
      <w:pPr>
        <w:spacing w:line="240" w:lineRule="auto"/>
        <w:jc w:val="both"/>
        <w:rPr>
          <w:rFonts w:ascii="Garamond" w:hAnsi="Garamond"/>
          <w:sz w:val="24"/>
          <w:szCs w:val="24"/>
        </w:rPr>
      </w:pPr>
      <w:r w:rsidRPr="001E3635">
        <w:rPr>
          <w:rFonts w:ascii="Garamond" w:hAnsi="Garamond"/>
          <w:sz w:val="24"/>
          <w:szCs w:val="24"/>
        </w:rPr>
        <w:t>A</w:t>
      </w:r>
      <w:r w:rsidR="00865C1E" w:rsidRPr="001E3635">
        <w:rPr>
          <w:rFonts w:ascii="Garamond" w:hAnsi="Garamond"/>
          <w:sz w:val="24"/>
          <w:szCs w:val="24"/>
        </w:rPr>
        <w:t>gradecer y reconocer el trabajo conjunto que hemos efectuado tanto los miembros de la Comisión de Constitución, como del</w:t>
      </w:r>
      <w:r w:rsidR="00547650" w:rsidRPr="001E3635">
        <w:rPr>
          <w:rFonts w:ascii="Garamond" w:hAnsi="Garamond"/>
          <w:sz w:val="24"/>
          <w:szCs w:val="24"/>
        </w:rPr>
        <w:t xml:space="preserve"> Poder Judicial,</w:t>
      </w:r>
      <w:r w:rsidR="00865C1E" w:rsidRPr="001E3635">
        <w:rPr>
          <w:rFonts w:ascii="Garamond" w:hAnsi="Garamond"/>
          <w:sz w:val="24"/>
          <w:szCs w:val="24"/>
        </w:rPr>
        <w:t xml:space="preserve"> Ministerio de Justicia, Ministerio Público y Defensoría </w:t>
      </w:r>
      <w:r w:rsidR="00441D82">
        <w:rPr>
          <w:rFonts w:ascii="Garamond" w:hAnsi="Garamond"/>
          <w:sz w:val="24"/>
          <w:szCs w:val="24"/>
        </w:rPr>
        <w:t>Penal Pública</w:t>
      </w:r>
      <w:r w:rsidR="00865C1E" w:rsidRPr="001E3635">
        <w:rPr>
          <w:rFonts w:ascii="Garamond" w:hAnsi="Garamond"/>
          <w:sz w:val="24"/>
          <w:szCs w:val="24"/>
        </w:rPr>
        <w:t xml:space="preserve">, a través de sus </w:t>
      </w:r>
      <w:r w:rsidR="00547650" w:rsidRPr="001E3635">
        <w:rPr>
          <w:rFonts w:ascii="Garamond" w:hAnsi="Garamond"/>
          <w:sz w:val="24"/>
          <w:szCs w:val="24"/>
        </w:rPr>
        <w:t xml:space="preserve">representantes Nora </w:t>
      </w:r>
      <w:proofErr w:type="spellStart"/>
      <w:r w:rsidR="00547650" w:rsidRPr="001E3635">
        <w:rPr>
          <w:rFonts w:ascii="Garamond" w:hAnsi="Garamond"/>
          <w:sz w:val="24"/>
          <w:szCs w:val="24"/>
        </w:rPr>
        <w:t>Rosati</w:t>
      </w:r>
      <w:proofErr w:type="spellEnd"/>
      <w:r w:rsidR="00547650" w:rsidRPr="001E3635">
        <w:rPr>
          <w:rFonts w:ascii="Garamond" w:hAnsi="Garamond"/>
          <w:sz w:val="24"/>
          <w:szCs w:val="24"/>
        </w:rPr>
        <w:t>,</w:t>
      </w:r>
      <w:r w:rsidR="00865C1E" w:rsidRPr="001E3635">
        <w:rPr>
          <w:rFonts w:ascii="Garamond" w:hAnsi="Garamond"/>
          <w:sz w:val="24"/>
          <w:szCs w:val="24"/>
        </w:rPr>
        <w:t xml:space="preserve"> Ignacio Castillo, Patricia Muñoz y Francisco </w:t>
      </w:r>
      <w:proofErr w:type="spellStart"/>
      <w:r w:rsidR="00865C1E" w:rsidRPr="001E3635">
        <w:rPr>
          <w:rFonts w:ascii="Garamond" w:hAnsi="Garamond"/>
          <w:sz w:val="24"/>
          <w:szCs w:val="24"/>
        </w:rPr>
        <w:t>Geisse</w:t>
      </w:r>
      <w:proofErr w:type="spellEnd"/>
      <w:r w:rsidR="00865C1E" w:rsidRPr="001E3635">
        <w:rPr>
          <w:rFonts w:ascii="Garamond" w:hAnsi="Garamond"/>
          <w:sz w:val="24"/>
          <w:szCs w:val="24"/>
        </w:rPr>
        <w:t>.</w:t>
      </w:r>
    </w:p>
    <w:p w:rsidR="00865C1E" w:rsidRPr="001E3635" w:rsidRDefault="00865C1E" w:rsidP="00C24170">
      <w:pPr>
        <w:spacing w:line="240" w:lineRule="auto"/>
        <w:jc w:val="both"/>
        <w:rPr>
          <w:rFonts w:ascii="Garamond" w:hAnsi="Garamond"/>
          <w:sz w:val="24"/>
          <w:szCs w:val="24"/>
        </w:rPr>
      </w:pPr>
      <w:r w:rsidRPr="001E3635">
        <w:rPr>
          <w:rFonts w:ascii="Garamond" w:hAnsi="Garamond"/>
          <w:sz w:val="24"/>
          <w:szCs w:val="24"/>
        </w:rPr>
        <w:t xml:space="preserve">A </w:t>
      </w:r>
      <w:r w:rsidR="00E84315" w:rsidRPr="001E3635">
        <w:rPr>
          <w:rFonts w:ascii="Garamond" w:hAnsi="Garamond"/>
          <w:sz w:val="24"/>
          <w:szCs w:val="24"/>
        </w:rPr>
        <w:t>los miembros de la Fundación “Amparo y Justicia”</w:t>
      </w:r>
      <w:r w:rsidRPr="001E3635">
        <w:rPr>
          <w:rFonts w:ascii="Garamond" w:hAnsi="Garamond"/>
          <w:sz w:val="24"/>
          <w:szCs w:val="24"/>
        </w:rPr>
        <w:t>, a su director Ramón Suarez, a Paulina Leiva</w:t>
      </w:r>
      <w:r w:rsidR="00441D82">
        <w:rPr>
          <w:rFonts w:ascii="Garamond" w:hAnsi="Garamond"/>
          <w:sz w:val="24"/>
          <w:szCs w:val="24"/>
        </w:rPr>
        <w:t xml:space="preserve"> y Diego Izquierdo</w:t>
      </w:r>
      <w:r w:rsidRPr="001E3635">
        <w:rPr>
          <w:rFonts w:ascii="Garamond" w:hAnsi="Garamond"/>
          <w:sz w:val="24"/>
          <w:szCs w:val="24"/>
        </w:rPr>
        <w:t xml:space="preserve">, </w:t>
      </w:r>
      <w:r w:rsidR="001969D2" w:rsidRPr="001E3635">
        <w:rPr>
          <w:rFonts w:ascii="Garamond" w:hAnsi="Garamond"/>
          <w:sz w:val="24"/>
          <w:szCs w:val="24"/>
        </w:rPr>
        <w:t>todos partes</w:t>
      </w:r>
      <w:r w:rsidRPr="001E3635">
        <w:rPr>
          <w:rFonts w:ascii="Garamond" w:hAnsi="Garamond"/>
          <w:sz w:val="24"/>
          <w:szCs w:val="24"/>
        </w:rPr>
        <w:t xml:space="preserve"> de una</w:t>
      </w:r>
      <w:r w:rsidR="00E84315" w:rsidRPr="001E3635">
        <w:rPr>
          <w:rFonts w:ascii="Garamond" w:hAnsi="Garamond"/>
          <w:sz w:val="24"/>
          <w:szCs w:val="24"/>
        </w:rPr>
        <w:t xml:space="preserve"> entidad que ha colaborado activa y permanentemente en cada etapa de la tramitación del proyecto.</w:t>
      </w:r>
    </w:p>
    <w:p w:rsidR="001969D2" w:rsidRPr="001E3635" w:rsidRDefault="001969D2" w:rsidP="00C24170">
      <w:pPr>
        <w:spacing w:line="240" w:lineRule="auto"/>
        <w:jc w:val="both"/>
        <w:rPr>
          <w:rFonts w:ascii="Garamond" w:hAnsi="Garamond"/>
          <w:iCs/>
          <w:sz w:val="24"/>
          <w:szCs w:val="24"/>
        </w:rPr>
      </w:pPr>
      <w:r w:rsidRPr="001E3635">
        <w:rPr>
          <w:rFonts w:ascii="Garamond" w:hAnsi="Garamond"/>
          <w:sz w:val="24"/>
          <w:szCs w:val="24"/>
        </w:rPr>
        <w:t xml:space="preserve">A </w:t>
      </w:r>
      <w:r w:rsidR="00865C1E" w:rsidRPr="001E3635">
        <w:rPr>
          <w:rFonts w:ascii="Garamond" w:hAnsi="Garamond"/>
          <w:sz w:val="24"/>
          <w:szCs w:val="24"/>
        </w:rPr>
        <w:t>los padres y madres</w:t>
      </w:r>
      <w:r w:rsidRPr="001E3635">
        <w:rPr>
          <w:rFonts w:ascii="Garamond" w:hAnsi="Garamond"/>
          <w:sz w:val="24"/>
          <w:szCs w:val="24"/>
        </w:rPr>
        <w:t xml:space="preserve"> presentes,</w:t>
      </w:r>
      <w:r w:rsidR="00865C1E" w:rsidRPr="001E3635">
        <w:rPr>
          <w:rFonts w:ascii="Garamond" w:hAnsi="Garamond"/>
          <w:sz w:val="24"/>
          <w:szCs w:val="24"/>
        </w:rPr>
        <w:t xml:space="preserve"> </w:t>
      </w:r>
      <w:r w:rsidR="00441D82">
        <w:rPr>
          <w:rFonts w:ascii="Garamond" w:hAnsi="Garamond"/>
          <w:sz w:val="24"/>
          <w:szCs w:val="24"/>
        </w:rPr>
        <w:t xml:space="preserve"> que forman </w:t>
      </w:r>
      <w:r w:rsidR="00865C1E" w:rsidRPr="001E3635">
        <w:rPr>
          <w:rFonts w:ascii="Garamond" w:hAnsi="Garamond"/>
          <w:sz w:val="24"/>
          <w:szCs w:val="24"/>
        </w:rPr>
        <w:t>parte de la</w:t>
      </w:r>
      <w:r w:rsidRPr="001E3635">
        <w:rPr>
          <w:rFonts w:ascii="Garamond" w:hAnsi="Garamond"/>
          <w:sz w:val="24"/>
          <w:szCs w:val="24"/>
        </w:rPr>
        <w:t xml:space="preserve"> agrupación “No más abuso sexual infantil”</w:t>
      </w:r>
      <w:r w:rsidR="00441D82">
        <w:rPr>
          <w:rFonts w:ascii="Garamond" w:hAnsi="Garamond"/>
          <w:sz w:val="24"/>
          <w:szCs w:val="24"/>
        </w:rPr>
        <w:t>,</w:t>
      </w:r>
      <w:bookmarkStart w:id="0" w:name="_GoBack"/>
      <w:bookmarkEnd w:id="0"/>
      <w:r w:rsidRPr="001E3635">
        <w:rPr>
          <w:rFonts w:ascii="Garamond" w:hAnsi="Garamond"/>
          <w:sz w:val="24"/>
          <w:szCs w:val="24"/>
        </w:rPr>
        <w:t xml:space="preserve"> </w:t>
      </w:r>
      <w:r w:rsidRPr="001E3635">
        <w:rPr>
          <w:rFonts w:ascii="Garamond" w:hAnsi="Garamond"/>
          <w:iCs/>
          <w:sz w:val="24"/>
          <w:szCs w:val="24"/>
        </w:rPr>
        <w:t>luchadores incansables por los derechos de los niños, niñas y adolescentes víctimas de abusos sexuales de nuestro país, a todos ustedes, mis sinceros agradecimientos y gratitud.</w:t>
      </w:r>
    </w:p>
    <w:p w:rsidR="001969D2" w:rsidRPr="001E3635" w:rsidRDefault="001969D2" w:rsidP="001969D2">
      <w:pPr>
        <w:spacing w:line="240" w:lineRule="auto"/>
        <w:jc w:val="both"/>
        <w:rPr>
          <w:rFonts w:ascii="Garamond" w:hAnsi="Garamond"/>
          <w:sz w:val="24"/>
          <w:szCs w:val="24"/>
        </w:rPr>
      </w:pPr>
      <w:r w:rsidRPr="001E3635">
        <w:rPr>
          <w:rFonts w:ascii="Garamond" w:hAnsi="Garamond"/>
          <w:sz w:val="24"/>
          <w:szCs w:val="24"/>
        </w:rPr>
        <w:t>Es</w:t>
      </w:r>
      <w:r w:rsidR="00F44134" w:rsidRPr="001E3635">
        <w:rPr>
          <w:rFonts w:ascii="Garamond" w:hAnsi="Garamond"/>
          <w:sz w:val="24"/>
          <w:szCs w:val="24"/>
        </w:rPr>
        <w:t xml:space="preserve"> un hecho que nuestro país ma</w:t>
      </w:r>
      <w:r w:rsidR="003C6171" w:rsidRPr="001E3635">
        <w:rPr>
          <w:rFonts w:ascii="Garamond" w:hAnsi="Garamond"/>
          <w:sz w:val="24"/>
          <w:szCs w:val="24"/>
        </w:rPr>
        <w:t>ntiene una</w:t>
      </w:r>
      <w:r w:rsidRPr="001E3635">
        <w:rPr>
          <w:rFonts w:ascii="Garamond" w:hAnsi="Garamond"/>
          <w:sz w:val="24"/>
          <w:szCs w:val="24"/>
        </w:rPr>
        <w:t xml:space="preserve"> deuda</w:t>
      </w:r>
      <w:r w:rsidR="003C6171" w:rsidRPr="001E3635">
        <w:rPr>
          <w:rFonts w:ascii="Garamond" w:hAnsi="Garamond"/>
          <w:sz w:val="24"/>
          <w:szCs w:val="24"/>
        </w:rPr>
        <w:t xml:space="preserve"> </w:t>
      </w:r>
      <w:r w:rsidRPr="001E3635">
        <w:rPr>
          <w:rFonts w:ascii="Garamond" w:hAnsi="Garamond"/>
          <w:sz w:val="24"/>
          <w:szCs w:val="24"/>
        </w:rPr>
        <w:t>con aquellos niños, niñas o adolescentes que han sido vulnerados en sus derechos fundamentales. Saldarla a través del texto que hoy se presenta a votación, es la forma responsable de cumplir con un imperativo ético.</w:t>
      </w:r>
    </w:p>
    <w:p w:rsidR="008A3E55" w:rsidRPr="001E3635" w:rsidRDefault="00767742" w:rsidP="00C24170">
      <w:pPr>
        <w:spacing w:line="240" w:lineRule="auto"/>
        <w:jc w:val="both"/>
        <w:rPr>
          <w:rFonts w:ascii="Garamond" w:hAnsi="Garamond"/>
          <w:sz w:val="24"/>
          <w:szCs w:val="24"/>
        </w:rPr>
      </w:pPr>
      <w:r w:rsidRPr="001E3635">
        <w:rPr>
          <w:rFonts w:ascii="Garamond" w:hAnsi="Garamond"/>
          <w:sz w:val="24"/>
          <w:szCs w:val="24"/>
        </w:rPr>
        <w:t xml:space="preserve">En el año 2009, de un total de 8.003 denuncias y detenciones registradas por Carabineros de Chile, una cifra cercana al 57% era menor de 18 años. En el año 2013, el Ministerio Público en su cuenta pública anual, expuso que de un total de </w:t>
      </w:r>
      <w:r w:rsidR="008F0B42" w:rsidRPr="001E3635">
        <w:rPr>
          <w:rFonts w:ascii="Garamond" w:hAnsi="Garamond"/>
          <w:sz w:val="24"/>
          <w:szCs w:val="24"/>
        </w:rPr>
        <w:t xml:space="preserve">24.122 </w:t>
      </w:r>
      <w:r w:rsidR="008F0B42">
        <w:rPr>
          <w:rFonts w:ascii="Garamond" w:hAnsi="Garamond"/>
          <w:sz w:val="24"/>
          <w:szCs w:val="24"/>
        </w:rPr>
        <w:t>de</w:t>
      </w:r>
      <w:r w:rsidR="00BE71F5">
        <w:rPr>
          <w:rFonts w:ascii="Garamond" w:hAnsi="Garamond"/>
          <w:sz w:val="24"/>
          <w:szCs w:val="24"/>
        </w:rPr>
        <w:t xml:space="preserve"> ingresos de </w:t>
      </w:r>
      <w:r w:rsidRPr="001E3635">
        <w:rPr>
          <w:rFonts w:ascii="Garamond" w:hAnsi="Garamond"/>
          <w:sz w:val="24"/>
          <w:szCs w:val="24"/>
        </w:rPr>
        <w:t xml:space="preserve">víctimas de delitos sexuales en nuestro país, 74% fueron </w:t>
      </w:r>
      <w:r w:rsidR="003C6171" w:rsidRPr="001E3635">
        <w:rPr>
          <w:rFonts w:ascii="Garamond" w:hAnsi="Garamond"/>
          <w:sz w:val="24"/>
          <w:szCs w:val="24"/>
        </w:rPr>
        <w:t>menores</w:t>
      </w:r>
      <w:r w:rsidR="008A3E55" w:rsidRPr="001E3635">
        <w:rPr>
          <w:rFonts w:ascii="Garamond" w:hAnsi="Garamond"/>
          <w:sz w:val="24"/>
          <w:szCs w:val="24"/>
        </w:rPr>
        <w:t xml:space="preserve"> </w:t>
      </w:r>
      <w:r w:rsidRPr="001E3635">
        <w:rPr>
          <w:rFonts w:ascii="Garamond" w:hAnsi="Garamond"/>
          <w:sz w:val="24"/>
          <w:szCs w:val="24"/>
        </w:rPr>
        <w:t xml:space="preserve">de edad, inferior a 18 años. Un 82% correspondió </w:t>
      </w:r>
      <w:r w:rsidRPr="001E3635">
        <w:rPr>
          <w:rFonts w:ascii="Garamond" w:hAnsi="Garamond"/>
          <w:sz w:val="24"/>
          <w:szCs w:val="24"/>
        </w:rPr>
        <w:lastRenderedPageBreak/>
        <w:t>a mujeres</w:t>
      </w:r>
      <w:r w:rsidRPr="001E3635">
        <w:rPr>
          <w:rStyle w:val="Refdenotaalpie"/>
          <w:rFonts w:ascii="Garamond" w:hAnsi="Garamond"/>
          <w:sz w:val="24"/>
          <w:szCs w:val="24"/>
        </w:rPr>
        <w:footnoteReference w:id="1"/>
      </w:r>
      <w:r w:rsidRPr="001E3635">
        <w:rPr>
          <w:rFonts w:ascii="Garamond" w:hAnsi="Garamond"/>
          <w:sz w:val="24"/>
          <w:szCs w:val="24"/>
        </w:rPr>
        <w:t>.  A lo anterior, se suma el hecho de q</w:t>
      </w:r>
      <w:r w:rsidR="008A3E55" w:rsidRPr="001E3635">
        <w:rPr>
          <w:rFonts w:ascii="Garamond" w:hAnsi="Garamond"/>
          <w:sz w:val="24"/>
          <w:szCs w:val="24"/>
        </w:rPr>
        <w:t>ue</w:t>
      </w:r>
      <w:r w:rsidRPr="001E3635">
        <w:rPr>
          <w:rFonts w:ascii="Garamond" w:hAnsi="Garamond"/>
          <w:sz w:val="24"/>
          <w:szCs w:val="24"/>
        </w:rPr>
        <w:t xml:space="preserve"> a los menores que</w:t>
      </w:r>
      <w:r w:rsidR="008A3E55" w:rsidRPr="001E3635">
        <w:rPr>
          <w:rFonts w:ascii="Garamond" w:hAnsi="Garamond"/>
          <w:sz w:val="24"/>
          <w:szCs w:val="24"/>
        </w:rPr>
        <w:t xml:space="preserve"> han sido víctimas de delitos</w:t>
      </w:r>
      <w:r w:rsidR="00A65DD2" w:rsidRPr="001E3635">
        <w:rPr>
          <w:rFonts w:ascii="Garamond" w:hAnsi="Garamond"/>
          <w:sz w:val="24"/>
          <w:szCs w:val="24"/>
        </w:rPr>
        <w:t xml:space="preserve"> especialmente sensibles, que menoscaban tanto su integridad física, psíquica como su indemnidad sexual</w:t>
      </w:r>
      <w:r w:rsidR="007639A9" w:rsidRPr="001E3635">
        <w:rPr>
          <w:rFonts w:ascii="Garamond" w:hAnsi="Garamond"/>
          <w:sz w:val="24"/>
          <w:szCs w:val="24"/>
        </w:rPr>
        <w:t>,</w:t>
      </w:r>
      <w:r w:rsidR="00A65DD2" w:rsidRPr="001E3635">
        <w:rPr>
          <w:rFonts w:ascii="Garamond" w:hAnsi="Garamond"/>
          <w:sz w:val="24"/>
          <w:szCs w:val="24"/>
        </w:rPr>
        <w:t xml:space="preserve"> luego de vivir tan complejo </w:t>
      </w:r>
      <w:r w:rsidR="00007D7E" w:rsidRPr="001E3635">
        <w:rPr>
          <w:rFonts w:ascii="Garamond" w:hAnsi="Garamond"/>
          <w:sz w:val="24"/>
          <w:szCs w:val="24"/>
        </w:rPr>
        <w:t>escenario, se</w:t>
      </w:r>
      <w:r w:rsidR="007639A9" w:rsidRPr="001E3635">
        <w:rPr>
          <w:rFonts w:ascii="Garamond" w:hAnsi="Garamond"/>
          <w:sz w:val="24"/>
          <w:szCs w:val="24"/>
        </w:rPr>
        <w:t xml:space="preserve"> les exige por la ley y la practica procesal, </w:t>
      </w:r>
      <w:r w:rsidR="00A65DD2" w:rsidRPr="001E3635">
        <w:rPr>
          <w:rFonts w:ascii="Garamond" w:hAnsi="Garamond"/>
          <w:sz w:val="24"/>
          <w:szCs w:val="24"/>
        </w:rPr>
        <w:t xml:space="preserve">comparecer </w:t>
      </w:r>
      <w:r w:rsidR="00A65DD2" w:rsidRPr="001E3635">
        <w:rPr>
          <w:rFonts w:ascii="Garamond" w:hAnsi="Garamond"/>
          <w:b/>
          <w:i/>
          <w:sz w:val="24"/>
          <w:szCs w:val="24"/>
        </w:rPr>
        <w:t>un promedio de cinco veces ante los diversos actores del proceso investigativo</w:t>
      </w:r>
      <w:r w:rsidR="00A65DD2" w:rsidRPr="001E3635">
        <w:rPr>
          <w:rFonts w:ascii="Garamond" w:hAnsi="Garamond"/>
          <w:sz w:val="24"/>
          <w:szCs w:val="24"/>
        </w:rPr>
        <w:t>,</w:t>
      </w:r>
      <w:r w:rsidR="007639A9" w:rsidRPr="001E3635">
        <w:rPr>
          <w:rFonts w:ascii="Garamond" w:hAnsi="Garamond"/>
          <w:sz w:val="24"/>
          <w:szCs w:val="24"/>
        </w:rPr>
        <w:t xml:space="preserve"> a fin de relatar lo sucedido, reviviéndolo una y otra vez, situación que claramente le </w:t>
      </w:r>
      <w:r w:rsidR="001969D2" w:rsidRPr="001E3635">
        <w:rPr>
          <w:rFonts w:ascii="Garamond" w:hAnsi="Garamond"/>
          <w:sz w:val="24"/>
          <w:szCs w:val="24"/>
        </w:rPr>
        <w:t>provoca una</w:t>
      </w:r>
      <w:r w:rsidR="007639A9" w:rsidRPr="001E3635">
        <w:rPr>
          <w:rFonts w:ascii="Garamond" w:hAnsi="Garamond"/>
          <w:sz w:val="24"/>
          <w:szCs w:val="24"/>
        </w:rPr>
        <w:t xml:space="preserve"> inconmensurable angustia. Esto es</w:t>
      </w:r>
      <w:r w:rsidR="00A65DD2" w:rsidRPr="001E3635">
        <w:rPr>
          <w:rFonts w:ascii="Garamond" w:hAnsi="Garamond"/>
          <w:sz w:val="24"/>
          <w:szCs w:val="24"/>
        </w:rPr>
        <w:t xml:space="preserve"> lo que se conoce como </w:t>
      </w:r>
      <w:r w:rsidR="00A65DD2" w:rsidRPr="001E3635">
        <w:rPr>
          <w:rFonts w:ascii="Garamond" w:hAnsi="Garamond"/>
          <w:b/>
          <w:i/>
          <w:sz w:val="24"/>
          <w:szCs w:val="24"/>
        </w:rPr>
        <w:t xml:space="preserve">la </w:t>
      </w:r>
      <w:r w:rsidR="003C6171" w:rsidRPr="001E3635">
        <w:rPr>
          <w:rFonts w:ascii="Garamond" w:hAnsi="Garamond"/>
          <w:b/>
          <w:i/>
          <w:sz w:val="24"/>
          <w:szCs w:val="24"/>
        </w:rPr>
        <w:t>victimización</w:t>
      </w:r>
      <w:r w:rsidR="00A65DD2" w:rsidRPr="001E3635">
        <w:rPr>
          <w:rFonts w:ascii="Garamond" w:hAnsi="Garamond"/>
          <w:b/>
          <w:i/>
          <w:sz w:val="24"/>
          <w:szCs w:val="24"/>
        </w:rPr>
        <w:t xml:space="preserve"> </w:t>
      </w:r>
      <w:r w:rsidR="003C6171" w:rsidRPr="001E3635">
        <w:rPr>
          <w:rFonts w:ascii="Garamond" w:hAnsi="Garamond"/>
          <w:b/>
          <w:i/>
          <w:sz w:val="24"/>
          <w:szCs w:val="24"/>
        </w:rPr>
        <w:t>secundaria</w:t>
      </w:r>
      <w:r w:rsidR="00A65DD2" w:rsidRPr="001E3635">
        <w:rPr>
          <w:rFonts w:ascii="Garamond" w:hAnsi="Garamond"/>
          <w:b/>
          <w:i/>
          <w:sz w:val="24"/>
          <w:szCs w:val="24"/>
        </w:rPr>
        <w:t xml:space="preserve"> o re</w:t>
      </w:r>
      <w:r w:rsidR="00C24170" w:rsidRPr="001E3635">
        <w:rPr>
          <w:rFonts w:ascii="Garamond" w:hAnsi="Garamond"/>
          <w:b/>
          <w:i/>
          <w:sz w:val="24"/>
          <w:szCs w:val="24"/>
        </w:rPr>
        <w:t xml:space="preserve"> victimización</w:t>
      </w:r>
      <w:r w:rsidR="00441D82">
        <w:rPr>
          <w:rFonts w:ascii="Garamond" w:hAnsi="Garamond"/>
          <w:b/>
          <w:i/>
          <w:sz w:val="24"/>
          <w:szCs w:val="24"/>
        </w:rPr>
        <w:t>.</w:t>
      </w:r>
    </w:p>
    <w:p w:rsidR="003D7063" w:rsidRPr="001E3635" w:rsidRDefault="00767742" w:rsidP="00C24170">
      <w:pPr>
        <w:spacing w:line="240" w:lineRule="auto"/>
        <w:jc w:val="both"/>
        <w:rPr>
          <w:rFonts w:ascii="Garamond" w:hAnsi="Garamond"/>
          <w:sz w:val="24"/>
          <w:szCs w:val="24"/>
        </w:rPr>
      </w:pPr>
      <w:r w:rsidRPr="001E3635">
        <w:rPr>
          <w:rFonts w:ascii="Garamond" w:hAnsi="Garamond"/>
          <w:sz w:val="24"/>
          <w:szCs w:val="24"/>
        </w:rPr>
        <w:t>Este proyecto busca</w:t>
      </w:r>
      <w:r w:rsidR="00A65DD2" w:rsidRPr="001E3635">
        <w:rPr>
          <w:rFonts w:ascii="Garamond" w:hAnsi="Garamond"/>
          <w:sz w:val="24"/>
          <w:szCs w:val="24"/>
        </w:rPr>
        <w:t xml:space="preserve"> precisamente </w:t>
      </w:r>
      <w:r w:rsidR="003C6171" w:rsidRPr="001E3635">
        <w:rPr>
          <w:rFonts w:ascii="Garamond" w:hAnsi="Garamond"/>
          <w:sz w:val="24"/>
          <w:szCs w:val="24"/>
        </w:rPr>
        <w:t>terminar con esta situación</w:t>
      </w:r>
      <w:r w:rsidR="003D7063" w:rsidRPr="001E3635">
        <w:rPr>
          <w:rFonts w:ascii="Garamond" w:hAnsi="Garamond"/>
          <w:sz w:val="24"/>
          <w:szCs w:val="24"/>
        </w:rPr>
        <w:t>. Con una tasa de cerca 20,6 menores abusados cada 100 mil habitantes, no podemos esperar más.</w:t>
      </w:r>
    </w:p>
    <w:p w:rsidR="003D7063" w:rsidRPr="001E3635" w:rsidRDefault="003D7063" w:rsidP="00C24170">
      <w:pPr>
        <w:spacing w:line="240" w:lineRule="auto"/>
        <w:jc w:val="both"/>
        <w:rPr>
          <w:rFonts w:ascii="Garamond" w:hAnsi="Garamond"/>
          <w:sz w:val="24"/>
          <w:szCs w:val="24"/>
        </w:rPr>
      </w:pPr>
      <w:r w:rsidRPr="001E3635">
        <w:rPr>
          <w:rFonts w:ascii="Garamond" w:hAnsi="Garamond"/>
          <w:sz w:val="24"/>
          <w:szCs w:val="24"/>
        </w:rPr>
        <w:t xml:space="preserve">La </w:t>
      </w:r>
      <w:r w:rsidR="007639A9" w:rsidRPr="001E3635">
        <w:rPr>
          <w:rFonts w:ascii="Garamond" w:hAnsi="Garamond"/>
          <w:sz w:val="24"/>
          <w:szCs w:val="24"/>
        </w:rPr>
        <w:t>Comisión</w:t>
      </w:r>
      <w:r w:rsidR="003C6171" w:rsidRPr="001E3635">
        <w:rPr>
          <w:rFonts w:ascii="Garamond" w:hAnsi="Garamond"/>
          <w:sz w:val="24"/>
          <w:szCs w:val="24"/>
        </w:rPr>
        <w:t xml:space="preserve"> de </w:t>
      </w:r>
      <w:r w:rsidR="007639A9" w:rsidRPr="001E3635">
        <w:rPr>
          <w:rFonts w:ascii="Garamond" w:hAnsi="Garamond"/>
          <w:sz w:val="24"/>
          <w:szCs w:val="24"/>
        </w:rPr>
        <w:t>Constitución</w:t>
      </w:r>
      <w:r w:rsidRPr="001E3635">
        <w:rPr>
          <w:rFonts w:ascii="Garamond" w:hAnsi="Garamond"/>
          <w:sz w:val="24"/>
          <w:szCs w:val="24"/>
        </w:rPr>
        <w:t xml:space="preserve"> de este Senado analizó en extenso y en detalle las modificaciones introducidas por la Cámara de Diputados en el segundo trámite constitucional, llegando a la convicción de que cada una de ellas, cumple con el estándar suficiente para permitir que este proyecto se trasforme en la vía definitiva para terminar con el sufrimiento y exposición de miles de niños, niñas y adolescentes</w:t>
      </w:r>
      <w:r w:rsidR="00CC1281" w:rsidRPr="001E3635">
        <w:rPr>
          <w:rFonts w:ascii="Garamond" w:hAnsi="Garamond"/>
          <w:sz w:val="24"/>
          <w:szCs w:val="24"/>
        </w:rPr>
        <w:t>, sumado al hecho de que se constata el mantenimiento de</w:t>
      </w:r>
      <w:r w:rsidR="00CC1281" w:rsidRPr="001E3635">
        <w:rPr>
          <w:rFonts w:ascii="Garamond" w:hAnsi="Garamond"/>
          <w:sz w:val="24"/>
          <w:szCs w:val="24"/>
          <w:lang w:val="es-ES_tradnl"/>
        </w:rPr>
        <w:t xml:space="preserve"> los principios rectores aprobados previamente en este Senado</w:t>
      </w:r>
      <w:r w:rsidR="00BE71F5">
        <w:rPr>
          <w:rFonts w:ascii="Garamond" w:hAnsi="Garamond"/>
          <w:sz w:val="24"/>
          <w:szCs w:val="24"/>
          <w:lang w:val="es-ES_tradnl"/>
        </w:rPr>
        <w:t>.</w:t>
      </w:r>
    </w:p>
    <w:p w:rsidR="00F33750" w:rsidRPr="001E3635" w:rsidRDefault="001E3635" w:rsidP="00C24170">
      <w:pPr>
        <w:spacing w:line="240" w:lineRule="auto"/>
        <w:jc w:val="both"/>
        <w:rPr>
          <w:rFonts w:ascii="Garamond" w:hAnsi="Garamond"/>
          <w:sz w:val="24"/>
          <w:szCs w:val="24"/>
        </w:rPr>
      </w:pPr>
      <w:r w:rsidRPr="001E3635">
        <w:rPr>
          <w:rFonts w:ascii="Garamond" w:hAnsi="Garamond"/>
          <w:sz w:val="24"/>
          <w:szCs w:val="24"/>
        </w:rPr>
        <w:t xml:space="preserve">Dentro </w:t>
      </w:r>
      <w:r w:rsidR="00CC1281" w:rsidRPr="001E3635">
        <w:rPr>
          <w:rFonts w:ascii="Garamond" w:hAnsi="Garamond"/>
          <w:sz w:val="24"/>
          <w:szCs w:val="24"/>
        </w:rPr>
        <w:t>de las modificaciones más relevantes</w:t>
      </w:r>
      <w:r w:rsidRPr="001E3635">
        <w:rPr>
          <w:rFonts w:ascii="Garamond" w:hAnsi="Garamond"/>
          <w:sz w:val="24"/>
          <w:szCs w:val="24"/>
        </w:rPr>
        <w:t xml:space="preserve"> se encuentran las siguientes</w:t>
      </w:r>
      <w:r w:rsidR="00F33750" w:rsidRPr="001E3635">
        <w:rPr>
          <w:rFonts w:ascii="Garamond" w:hAnsi="Garamond"/>
          <w:sz w:val="24"/>
          <w:szCs w:val="24"/>
        </w:rPr>
        <w:t>:</w:t>
      </w:r>
    </w:p>
    <w:p w:rsidR="00A91B96" w:rsidRPr="001E3635" w:rsidRDefault="006079F7" w:rsidP="00C24170">
      <w:pPr>
        <w:pStyle w:val="Prrafodelista"/>
        <w:numPr>
          <w:ilvl w:val="0"/>
          <w:numId w:val="1"/>
        </w:numPr>
        <w:spacing w:line="240" w:lineRule="auto"/>
        <w:jc w:val="both"/>
        <w:rPr>
          <w:rFonts w:ascii="Garamond" w:hAnsi="Garamond"/>
          <w:sz w:val="24"/>
          <w:szCs w:val="24"/>
        </w:rPr>
      </w:pPr>
      <w:r w:rsidRPr="001E3635">
        <w:rPr>
          <w:rFonts w:ascii="Garamond" w:hAnsi="Garamond"/>
          <w:b/>
          <w:i/>
          <w:sz w:val="24"/>
          <w:szCs w:val="24"/>
        </w:rPr>
        <w:t>Se amplía y precisa el catálogo de delitos que dan marco de aplicación del proyecto</w:t>
      </w:r>
      <w:r w:rsidRPr="001E3635">
        <w:rPr>
          <w:rFonts w:ascii="Garamond" w:hAnsi="Garamond"/>
          <w:sz w:val="24"/>
          <w:szCs w:val="24"/>
        </w:rPr>
        <w:t xml:space="preserve">: </w:t>
      </w:r>
      <w:r w:rsidR="00067925" w:rsidRPr="001E3635">
        <w:rPr>
          <w:rFonts w:ascii="Garamond" w:hAnsi="Garamond"/>
          <w:sz w:val="24"/>
          <w:szCs w:val="24"/>
        </w:rPr>
        <w:t>Respetando la lógica fundante de lo aprobado por el Senado, esto es, contemplar aquellos delitos más graves y que puedan afectar en mayor medida a los NNA, en el segundo trámite constitucional, la Cámara de Diputados mantuvo lo aprobado por la Comisión de Constitución, contemplando además, delitos contra la integridad física ( castración y lesiones graves gravísimas) como así también, todas las hipótesis referidas al delito de secuestro calificado.</w:t>
      </w:r>
    </w:p>
    <w:p w:rsidR="00FA1FCD" w:rsidRPr="001E3635" w:rsidRDefault="00FA1FCD" w:rsidP="00FA1FCD">
      <w:pPr>
        <w:pStyle w:val="Prrafodelista"/>
        <w:spacing w:line="240" w:lineRule="auto"/>
        <w:jc w:val="both"/>
        <w:rPr>
          <w:rFonts w:ascii="Garamond" w:hAnsi="Garamond"/>
          <w:sz w:val="24"/>
          <w:szCs w:val="24"/>
        </w:rPr>
      </w:pPr>
    </w:p>
    <w:p w:rsidR="00547650" w:rsidRPr="001E3635" w:rsidRDefault="00547650" w:rsidP="00547650">
      <w:pPr>
        <w:pStyle w:val="Prrafodelista"/>
        <w:numPr>
          <w:ilvl w:val="0"/>
          <w:numId w:val="1"/>
        </w:numPr>
        <w:spacing w:line="240" w:lineRule="auto"/>
        <w:jc w:val="both"/>
        <w:rPr>
          <w:rFonts w:ascii="Garamond" w:hAnsi="Garamond"/>
          <w:sz w:val="24"/>
          <w:szCs w:val="24"/>
        </w:rPr>
      </w:pPr>
      <w:r w:rsidRPr="001E3635">
        <w:rPr>
          <w:rFonts w:ascii="Garamond" w:hAnsi="Garamond"/>
          <w:b/>
          <w:i/>
          <w:sz w:val="24"/>
          <w:szCs w:val="24"/>
        </w:rPr>
        <w:t>Cambio en el régimen de protección de testigos</w:t>
      </w:r>
      <w:r w:rsidRPr="001E3635">
        <w:rPr>
          <w:rFonts w:ascii="Garamond" w:hAnsi="Garamond"/>
          <w:sz w:val="24"/>
          <w:szCs w:val="24"/>
        </w:rPr>
        <w:t>: considerando que los niños, niñas y adolescentes que sean testigos pueden requerir de un tratamiento que considere sus particularidades y que, en ciertos casos, son víctimas indirectas, en el nuevo título sobre medidas de protección, se resolvió agregar el nuevo artículo 26, que dispone medidas de resguardo para testigos niños, niñas y adolescentes.</w:t>
      </w:r>
      <w:r w:rsidRPr="001E3635">
        <w:rPr>
          <w:rFonts w:ascii="Garamond" w:eastAsia="Calibri" w:hAnsi="Garamond" w:cs="Arial"/>
          <w:szCs w:val="20"/>
          <w:lang w:eastAsia="es-CL"/>
        </w:rPr>
        <w:t xml:space="preserve"> </w:t>
      </w:r>
      <w:r w:rsidRPr="001E3635">
        <w:rPr>
          <w:rFonts w:ascii="Garamond" w:hAnsi="Garamond"/>
          <w:sz w:val="24"/>
          <w:szCs w:val="24"/>
        </w:rPr>
        <w:t>De tal forma, no debe entenderse que los testigos fueron excluidos producto de una decisión político-criminal, sino que su tratamiento fue reubicado a nuevo título especial que trata medidas de protección, por lo que no han quedado sin resguardo</w:t>
      </w:r>
    </w:p>
    <w:p w:rsidR="00547650" w:rsidRPr="001E3635" w:rsidRDefault="00547650" w:rsidP="00547650">
      <w:pPr>
        <w:pStyle w:val="Prrafodelista"/>
        <w:spacing w:line="240" w:lineRule="auto"/>
        <w:jc w:val="both"/>
        <w:rPr>
          <w:rFonts w:ascii="Garamond" w:hAnsi="Garamond"/>
          <w:sz w:val="24"/>
          <w:szCs w:val="24"/>
        </w:rPr>
      </w:pPr>
    </w:p>
    <w:p w:rsidR="0072668D" w:rsidRPr="001E3635" w:rsidRDefault="0072668D" w:rsidP="00C24170">
      <w:pPr>
        <w:pStyle w:val="Prrafodelista"/>
        <w:numPr>
          <w:ilvl w:val="0"/>
          <w:numId w:val="1"/>
        </w:numPr>
        <w:spacing w:line="240" w:lineRule="auto"/>
        <w:jc w:val="both"/>
        <w:rPr>
          <w:rFonts w:ascii="Garamond" w:hAnsi="Garamond"/>
          <w:sz w:val="24"/>
          <w:szCs w:val="24"/>
        </w:rPr>
      </w:pPr>
      <w:r w:rsidRPr="001E3635">
        <w:rPr>
          <w:rFonts w:ascii="Garamond" w:hAnsi="Garamond"/>
          <w:b/>
          <w:i/>
          <w:sz w:val="24"/>
          <w:szCs w:val="24"/>
        </w:rPr>
        <w:t>Se incorpora a los principios ya contenidos en el texto aprobado por el Senado, el principio de resguardo de la dignidad del NNA</w:t>
      </w:r>
      <w:r w:rsidRPr="001E3635">
        <w:rPr>
          <w:rFonts w:ascii="Garamond" w:hAnsi="Garamond"/>
          <w:sz w:val="24"/>
          <w:szCs w:val="24"/>
        </w:rPr>
        <w:t>, que contiene conceptos que coinciden con los principios de Interés Superior del Niño y de prevención de Victimización Secundaria</w:t>
      </w:r>
      <w:r w:rsidR="001E3635" w:rsidRPr="001E3635">
        <w:rPr>
          <w:rFonts w:ascii="Garamond" w:hAnsi="Garamond"/>
          <w:sz w:val="24"/>
          <w:szCs w:val="24"/>
        </w:rPr>
        <w:t>.</w:t>
      </w:r>
    </w:p>
    <w:p w:rsidR="001E3635" w:rsidRPr="001E3635" w:rsidRDefault="001E3635" w:rsidP="001E3635">
      <w:pPr>
        <w:pStyle w:val="Prrafodelista"/>
        <w:rPr>
          <w:rFonts w:ascii="Garamond" w:hAnsi="Garamond"/>
          <w:sz w:val="24"/>
          <w:szCs w:val="24"/>
        </w:rPr>
      </w:pPr>
    </w:p>
    <w:p w:rsidR="001E3635" w:rsidRPr="001E3635" w:rsidRDefault="001E3635" w:rsidP="001E3635">
      <w:pPr>
        <w:pStyle w:val="Prrafodelista"/>
        <w:spacing w:line="240" w:lineRule="auto"/>
        <w:jc w:val="both"/>
        <w:rPr>
          <w:rFonts w:ascii="Garamond" w:hAnsi="Garamond"/>
          <w:sz w:val="24"/>
          <w:szCs w:val="24"/>
        </w:rPr>
      </w:pPr>
    </w:p>
    <w:p w:rsidR="00A91B96" w:rsidRPr="001E3635" w:rsidRDefault="00067925" w:rsidP="00C24170">
      <w:pPr>
        <w:pStyle w:val="Prrafodelista"/>
        <w:numPr>
          <w:ilvl w:val="0"/>
          <w:numId w:val="1"/>
        </w:numPr>
        <w:spacing w:line="240" w:lineRule="auto"/>
        <w:jc w:val="both"/>
        <w:rPr>
          <w:rFonts w:ascii="Garamond" w:hAnsi="Garamond"/>
          <w:sz w:val="24"/>
          <w:szCs w:val="24"/>
        </w:rPr>
      </w:pPr>
      <w:r w:rsidRPr="008F0B42">
        <w:rPr>
          <w:rFonts w:ascii="Garamond" w:hAnsi="Garamond"/>
          <w:b/>
          <w:i/>
          <w:sz w:val="24"/>
          <w:szCs w:val="24"/>
        </w:rPr>
        <w:t xml:space="preserve">Se establece una obligación </w:t>
      </w:r>
      <w:r w:rsidR="00EF2A18" w:rsidRPr="008F0B42">
        <w:rPr>
          <w:rFonts w:ascii="Garamond" w:hAnsi="Garamond"/>
          <w:b/>
          <w:i/>
          <w:sz w:val="24"/>
          <w:szCs w:val="24"/>
        </w:rPr>
        <w:t>dirigida</w:t>
      </w:r>
      <w:r w:rsidRPr="008F0B42">
        <w:rPr>
          <w:rFonts w:ascii="Garamond" w:hAnsi="Garamond"/>
          <w:b/>
          <w:i/>
          <w:sz w:val="24"/>
          <w:szCs w:val="24"/>
        </w:rPr>
        <w:t xml:space="preserve"> a los </w:t>
      </w:r>
      <w:r w:rsidRPr="008F0B42">
        <w:rPr>
          <w:rFonts w:ascii="Garamond" w:hAnsi="Garamond"/>
          <w:b/>
          <w:i/>
          <w:sz w:val="24"/>
          <w:szCs w:val="24"/>
          <w:lang w:val="es-ES_tradnl"/>
        </w:rPr>
        <w:t xml:space="preserve">los fiscales del Ministerio Público, quienes deberán tramitar con preferencia las causas a que hace referencia el </w:t>
      </w:r>
      <w:r w:rsidRPr="008F0B42">
        <w:rPr>
          <w:rFonts w:ascii="Garamond" w:hAnsi="Garamond"/>
          <w:b/>
          <w:i/>
          <w:sz w:val="24"/>
          <w:szCs w:val="24"/>
          <w:lang w:val="es-ES_tradnl"/>
        </w:rPr>
        <w:lastRenderedPageBreak/>
        <w:t>proyecto de ley</w:t>
      </w:r>
      <w:r w:rsidRPr="001E3635">
        <w:rPr>
          <w:rFonts w:ascii="Garamond" w:hAnsi="Garamond"/>
          <w:sz w:val="24"/>
          <w:szCs w:val="24"/>
          <w:lang w:val="es-ES_tradnl"/>
        </w:rPr>
        <w:t>, de acuerdo con las instrucciones generales que dicte el Fiscal Nacional del Ministerio Público</w:t>
      </w:r>
      <w:r w:rsidR="006B5547" w:rsidRPr="001E3635">
        <w:rPr>
          <w:rFonts w:ascii="Garamond" w:hAnsi="Garamond"/>
          <w:sz w:val="24"/>
          <w:szCs w:val="24"/>
        </w:rPr>
        <w:t>.</w:t>
      </w:r>
    </w:p>
    <w:p w:rsidR="001E3635" w:rsidRPr="001E3635" w:rsidRDefault="001E3635" w:rsidP="001E3635">
      <w:pPr>
        <w:pStyle w:val="Prrafodelista"/>
        <w:spacing w:line="240" w:lineRule="auto"/>
        <w:jc w:val="both"/>
        <w:rPr>
          <w:rFonts w:ascii="Garamond" w:hAnsi="Garamond"/>
          <w:sz w:val="24"/>
          <w:szCs w:val="24"/>
        </w:rPr>
      </w:pPr>
    </w:p>
    <w:p w:rsidR="00EF2A18" w:rsidRPr="001E3635" w:rsidRDefault="00EF2A18" w:rsidP="0072668D">
      <w:pPr>
        <w:pStyle w:val="Prrafodelista"/>
        <w:numPr>
          <w:ilvl w:val="0"/>
          <w:numId w:val="1"/>
        </w:numPr>
        <w:spacing w:line="240" w:lineRule="auto"/>
        <w:jc w:val="both"/>
        <w:rPr>
          <w:rFonts w:ascii="Garamond" w:hAnsi="Garamond"/>
          <w:sz w:val="24"/>
          <w:szCs w:val="24"/>
          <w:lang w:val="es-ES_tradnl"/>
        </w:rPr>
      </w:pPr>
      <w:r w:rsidRPr="001E3635">
        <w:rPr>
          <w:rFonts w:ascii="Garamond" w:hAnsi="Garamond"/>
          <w:b/>
          <w:i/>
          <w:sz w:val="24"/>
          <w:szCs w:val="24"/>
        </w:rPr>
        <w:t>En el caso de verificarse otras diligencias de carácter investigativo con relación al NNA</w:t>
      </w:r>
      <w:r w:rsidRPr="001E3635">
        <w:rPr>
          <w:rFonts w:ascii="Garamond" w:hAnsi="Garamond"/>
          <w:sz w:val="24"/>
          <w:szCs w:val="24"/>
        </w:rPr>
        <w:t>, se establece la obligación para los Fiscales, de dejar constancia</w:t>
      </w:r>
      <w:r w:rsidRPr="001E3635">
        <w:rPr>
          <w:rFonts w:ascii="Garamond" w:eastAsia="ヒラギノ角ゴ Pro W3" w:hAnsi="Garamond" w:cs="Arial"/>
          <w:color w:val="000000"/>
          <w:sz w:val="24"/>
          <w:szCs w:val="24"/>
          <w:lang w:val="es-ES_tradnl"/>
        </w:rPr>
        <w:t xml:space="preserve"> </w:t>
      </w:r>
      <w:r w:rsidRPr="001E3635">
        <w:rPr>
          <w:rFonts w:ascii="Garamond" w:hAnsi="Garamond"/>
          <w:sz w:val="24"/>
          <w:szCs w:val="24"/>
          <w:lang w:val="es-ES_tradnl"/>
        </w:rPr>
        <w:t xml:space="preserve">dejar constancia en la carpeta investigativa de las razones y los fundamentos que se tuvieron en consideración para decretar estas diligencias. Asimismo, </w:t>
      </w:r>
      <w:bookmarkStart w:id="1" w:name="_Hlk495359647"/>
      <w:r w:rsidRPr="001E3635">
        <w:rPr>
          <w:rFonts w:ascii="Garamond" w:hAnsi="Garamond"/>
          <w:sz w:val="24"/>
          <w:szCs w:val="24"/>
          <w:lang w:val="es-ES_tradnl"/>
        </w:rPr>
        <w:t>en el caso que el fiscal ordene o autorice la realización de una pericia psicológica, deberá justificar su decisión según las instrucciones generales que dicte el Fiscal Nacional del Ministerio Público</w:t>
      </w:r>
      <w:bookmarkEnd w:id="1"/>
      <w:r w:rsidRPr="001E3635">
        <w:rPr>
          <w:rFonts w:ascii="Garamond" w:hAnsi="Garamond"/>
          <w:sz w:val="24"/>
          <w:szCs w:val="24"/>
          <w:lang w:val="es-ES_tradnl"/>
        </w:rPr>
        <w:t>.</w:t>
      </w:r>
    </w:p>
    <w:p w:rsidR="0072668D" w:rsidRPr="001E3635" w:rsidRDefault="0072668D" w:rsidP="0072668D">
      <w:pPr>
        <w:pStyle w:val="Prrafodelista"/>
        <w:spacing w:line="240" w:lineRule="auto"/>
        <w:rPr>
          <w:rFonts w:ascii="Garamond" w:hAnsi="Garamond"/>
          <w:sz w:val="24"/>
          <w:szCs w:val="24"/>
          <w:lang w:val="es-ES_tradnl"/>
        </w:rPr>
      </w:pPr>
    </w:p>
    <w:p w:rsidR="00FA1FCD" w:rsidRPr="001E3635" w:rsidRDefault="0072668D" w:rsidP="00FA1FCD">
      <w:pPr>
        <w:pStyle w:val="Prrafodelista"/>
        <w:numPr>
          <w:ilvl w:val="0"/>
          <w:numId w:val="1"/>
        </w:numPr>
        <w:spacing w:line="240" w:lineRule="auto"/>
        <w:jc w:val="both"/>
        <w:rPr>
          <w:rFonts w:ascii="Garamond" w:hAnsi="Garamond"/>
          <w:sz w:val="24"/>
          <w:szCs w:val="24"/>
          <w:lang w:val="es-ES_tradnl"/>
        </w:rPr>
      </w:pPr>
      <w:r w:rsidRPr="001E3635">
        <w:rPr>
          <w:rFonts w:ascii="Garamond" w:hAnsi="Garamond"/>
          <w:b/>
          <w:i/>
          <w:sz w:val="24"/>
          <w:szCs w:val="24"/>
          <w:lang w:val="es-ES_tradnl"/>
        </w:rPr>
        <w:t>Se incorpora un nuevo precepto que prohíbe a que testigos citados a declarar en juicio</w:t>
      </w:r>
      <w:r w:rsidRPr="001E3635">
        <w:rPr>
          <w:rFonts w:ascii="Garamond" w:eastAsia="ヒラギノ角ゴ Pro W3" w:hAnsi="Garamond" w:cs="Arial"/>
          <w:b/>
          <w:i/>
          <w:color w:val="000000"/>
          <w:sz w:val="24"/>
          <w:szCs w:val="24"/>
          <w:lang w:val="es-ES_tradnl"/>
        </w:rPr>
        <w:t xml:space="preserve"> </w:t>
      </w:r>
      <w:r w:rsidRPr="001E3635">
        <w:rPr>
          <w:rFonts w:ascii="Garamond" w:hAnsi="Garamond"/>
          <w:b/>
          <w:i/>
          <w:sz w:val="24"/>
          <w:szCs w:val="24"/>
          <w:lang w:val="es-ES_tradnl"/>
        </w:rPr>
        <w:t>hacer alusión al contenido de la entrevista investigativa que hubiere prestado el niño, niña o adolescente, sin hacer extensiva dicha prohibición a los peritos expertos</w:t>
      </w:r>
      <w:r w:rsidRPr="001E3635">
        <w:rPr>
          <w:rFonts w:ascii="Garamond" w:hAnsi="Garamond"/>
          <w:sz w:val="24"/>
          <w:szCs w:val="24"/>
          <w:lang w:val="es-ES_tradnl"/>
        </w:rPr>
        <w:t>: En este caso, se asegura la integridad y se evita la distorsión de los antecedentes puestos en conocimiento del juez, por medio de la exclusión de los testigos de oídas, todo en la lógica aprobada previamente por el Senado, en cuanto a asegurar el acceso a dicha información, mediante el soporte de entrevista investigativa grabada y efectuada por expertos certificados.</w:t>
      </w:r>
    </w:p>
    <w:p w:rsidR="00FA1FCD" w:rsidRPr="001E3635" w:rsidRDefault="00FA1FCD" w:rsidP="00FA1FCD">
      <w:pPr>
        <w:pStyle w:val="Prrafodelista"/>
        <w:rPr>
          <w:rFonts w:ascii="Garamond" w:hAnsi="Garamond"/>
          <w:sz w:val="24"/>
          <w:szCs w:val="24"/>
          <w:lang w:val="es-ES_tradnl"/>
        </w:rPr>
      </w:pPr>
    </w:p>
    <w:p w:rsidR="00FA1FCD" w:rsidRPr="001E3635" w:rsidRDefault="00FA1FCD" w:rsidP="00FA1FCD">
      <w:pPr>
        <w:pStyle w:val="Prrafodelista"/>
        <w:spacing w:line="240" w:lineRule="auto"/>
        <w:jc w:val="both"/>
        <w:rPr>
          <w:rFonts w:ascii="Garamond" w:hAnsi="Garamond"/>
          <w:sz w:val="24"/>
          <w:szCs w:val="24"/>
          <w:lang w:val="es-ES_tradnl"/>
        </w:rPr>
      </w:pPr>
    </w:p>
    <w:p w:rsidR="00EF2A18" w:rsidRPr="001E3635" w:rsidRDefault="00547650" w:rsidP="00547650">
      <w:pPr>
        <w:pStyle w:val="Prrafodelista"/>
        <w:numPr>
          <w:ilvl w:val="0"/>
          <w:numId w:val="1"/>
        </w:numPr>
        <w:spacing w:line="240" w:lineRule="auto"/>
        <w:jc w:val="both"/>
        <w:rPr>
          <w:rFonts w:ascii="Garamond" w:hAnsi="Garamond"/>
          <w:sz w:val="24"/>
          <w:szCs w:val="24"/>
          <w:lang w:val="es-ES_tradnl"/>
        </w:rPr>
      </w:pPr>
      <w:r w:rsidRPr="001E3635">
        <w:rPr>
          <w:rFonts w:ascii="Garamond" w:hAnsi="Garamond"/>
          <w:b/>
          <w:i/>
          <w:sz w:val="24"/>
          <w:szCs w:val="24"/>
          <w:lang w:val="es-ES_tradnl"/>
        </w:rPr>
        <w:t>En el caso de la realización excepcional de una segunda entrevista investigativa, se establece un control jerárquico</w:t>
      </w:r>
      <w:r w:rsidR="001E3635" w:rsidRPr="001E3635">
        <w:rPr>
          <w:rFonts w:ascii="Garamond" w:hAnsi="Garamond"/>
          <w:sz w:val="24"/>
          <w:szCs w:val="24"/>
          <w:lang w:val="es-ES_tradnl"/>
        </w:rPr>
        <w:t>:</w:t>
      </w:r>
      <w:r w:rsidRPr="001E3635">
        <w:rPr>
          <w:rFonts w:ascii="Garamond" w:hAnsi="Garamond"/>
          <w:sz w:val="24"/>
          <w:szCs w:val="24"/>
          <w:lang w:val="es-ES_tradnl"/>
        </w:rPr>
        <w:t xml:space="preserve"> En los casos que el fiscal adjunto a cargo de la investigación decidiera la realización de esta segunda entrevista, ya sea por disposición propia o acogiendo una solicitud de interviniente, deberá primero someter dicha decisión a la aprobación del Fiscal Regional.</w:t>
      </w:r>
    </w:p>
    <w:p w:rsidR="00FA1FCD" w:rsidRPr="001E3635" w:rsidRDefault="00FA1FCD" w:rsidP="00FA1FCD">
      <w:pPr>
        <w:pStyle w:val="Prrafodelista"/>
        <w:spacing w:line="240" w:lineRule="auto"/>
        <w:jc w:val="both"/>
        <w:rPr>
          <w:rFonts w:ascii="Garamond" w:hAnsi="Garamond"/>
          <w:sz w:val="24"/>
          <w:szCs w:val="24"/>
          <w:lang w:val="es-ES_tradnl"/>
        </w:rPr>
      </w:pPr>
    </w:p>
    <w:p w:rsidR="00FA1FCD" w:rsidRPr="001E3635" w:rsidRDefault="00FA1FCD" w:rsidP="00FA1FCD">
      <w:pPr>
        <w:pStyle w:val="Prrafodelista"/>
        <w:numPr>
          <w:ilvl w:val="0"/>
          <w:numId w:val="1"/>
        </w:numPr>
        <w:spacing w:line="240" w:lineRule="auto"/>
        <w:jc w:val="both"/>
        <w:rPr>
          <w:rFonts w:ascii="Garamond" w:hAnsi="Garamond"/>
          <w:sz w:val="24"/>
          <w:szCs w:val="24"/>
        </w:rPr>
      </w:pPr>
      <w:r w:rsidRPr="001E3635">
        <w:rPr>
          <w:rFonts w:ascii="Garamond" w:hAnsi="Garamond"/>
          <w:b/>
          <w:i/>
          <w:sz w:val="24"/>
          <w:szCs w:val="24"/>
          <w:lang w:val="es-ES_tradnl"/>
        </w:rPr>
        <w:t>Entrevistador como posible testigo experto</w:t>
      </w:r>
      <w:r w:rsidRPr="001E3635">
        <w:rPr>
          <w:rFonts w:ascii="Garamond" w:hAnsi="Garamond"/>
          <w:sz w:val="24"/>
          <w:szCs w:val="24"/>
          <w:lang w:val="es-ES_tradnl"/>
        </w:rPr>
        <w:t>:</w:t>
      </w:r>
      <w:r w:rsidRPr="001E3635">
        <w:rPr>
          <w:rFonts w:ascii="Garamond" w:eastAsia="Calibri" w:hAnsi="Garamond" w:cs="Arial"/>
          <w:sz w:val="24"/>
          <w:szCs w:val="24"/>
          <w:lang w:eastAsia="es-CL"/>
        </w:rPr>
        <w:t xml:space="preserve">  Se </w:t>
      </w:r>
      <w:r w:rsidRPr="001E3635">
        <w:rPr>
          <w:rFonts w:ascii="Garamond" w:hAnsi="Garamond"/>
          <w:sz w:val="24"/>
          <w:szCs w:val="24"/>
        </w:rPr>
        <w:t xml:space="preserve">modificó el artículo 18 referido a la reproducción del contenido de la Entrevista Investigativa Videograbada en juicio oral, contemplando una nueva hipótesis que explicita que el registro de la entrevista podrá ser incorporado a juicio oral, si el entrevistador que la realizó fuere citado como testigo </w:t>
      </w:r>
      <w:r w:rsidRPr="001E3635">
        <w:rPr>
          <w:rFonts w:ascii="Garamond" w:hAnsi="Garamond"/>
          <w:i/>
          <w:sz w:val="24"/>
          <w:szCs w:val="24"/>
        </w:rPr>
        <w:t>para referirse a la técnica y metodología</w:t>
      </w:r>
      <w:r w:rsidRPr="001E3635">
        <w:rPr>
          <w:rFonts w:ascii="Garamond" w:hAnsi="Garamond"/>
          <w:sz w:val="24"/>
          <w:szCs w:val="24"/>
        </w:rPr>
        <w:t xml:space="preserve"> </w:t>
      </w:r>
      <w:r w:rsidRPr="001E3635">
        <w:rPr>
          <w:rFonts w:ascii="Garamond" w:hAnsi="Garamond"/>
          <w:i/>
          <w:sz w:val="24"/>
          <w:szCs w:val="24"/>
        </w:rPr>
        <w:t>empleada</w:t>
      </w:r>
      <w:r w:rsidRPr="001E3635">
        <w:rPr>
          <w:rFonts w:ascii="Garamond" w:hAnsi="Garamond"/>
          <w:sz w:val="24"/>
          <w:szCs w:val="24"/>
        </w:rPr>
        <w:t>, es decir, para declarar como testigo experto.</w:t>
      </w:r>
    </w:p>
    <w:p w:rsidR="00FA1FCD" w:rsidRPr="001E3635" w:rsidRDefault="00FA1FCD" w:rsidP="00FA1FCD">
      <w:pPr>
        <w:pStyle w:val="Prrafodelista"/>
        <w:rPr>
          <w:rFonts w:ascii="Garamond" w:hAnsi="Garamond"/>
          <w:sz w:val="24"/>
          <w:szCs w:val="24"/>
        </w:rPr>
      </w:pPr>
    </w:p>
    <w:p w:rsidR="00FA1FCD" w:rsidRPr="001E3635" w:rsidRDefault="00FA1FCD" w:rsidP="00FA1FCD">
      <w:pPr>
        <w:pStyle w:val="Prrafodelista"/>
        <w:spacing w:line="240" w:lineRule="auto"/>
        <w:jc w:val="both"/>
        <w:rPr>
          <w:rFonts w:ascii="Garamond" w:hAnsi="Garamond"/>
          <w:sz w:val="24"/>
          <w:szCs w:val="24"/>
        </w:rPr>
      </w:pPr>
    </w:p>
    <w:p w:rsidR="001E3635" w:rsidRPr="001E3635" w:rsidRDefault="00FA1FCD" w:rsidP="001E3635">
      <w:pPr>
        <w:pStyle w:val="Prrafodelista"/>
        <w:numPr>
          <w:ilvl w:val="0"/>
          <w:numId w:val="1"/>
        </w:numPr>
        <w:spacing w:line="240" w:lineRule="auto"/>
        <w:jc w:val="both"/>
        <w:rPr>
          <w:rFonts w:ascii="Garamond" w:hAnsi="Garamond"/>
          <w:sz w:val="24"/>
          <w:szCs w:val="24"/>
        </w:rPr>
      </w:pPr>
      <w:r w:rsidRPr="001E3635">
        <w:rPr>
          <w:rFonts w:ascii="Garamond" w:hAnsi="Garamond"/>
          <w:b/>
          <w:i/>
          <w:sz w:val="24"/>
          <w:szCs w:val="24"/>
          <w:lang w:val="es-ES_tradnl"/>
        </w:rPr>
        <w:t>Cambio en designación de Entrevistadores</w:t>
      </w:r>
      <w:r w:rsidRPr="001E3635">
        <w:rPr>
          <w:rFonts w:ascii="Garamond" w:hAnsi="Garamond"/>
          <w:sz w:val="24"/>
          <w:szCs w:val="24"/>
          <w:lang w:val="es-ES_tradnl"/>
        </w:rPr>
        <w:t>:</w:t>
      </w:r>
      <w:r w:rsidR="001E3635" w:rsidRPr="001E3635">
        <w:rPr>
          <w:rFonts w:ascii="Garamond" w:eastAsia="Calibri" w:hAnsi="Garamond" w:cs="Arial"/>
          <w:szCs w:val="20"/>
          <w:lang w:eastAsia="es-CL"/>
        </w:rPr>
        <w:t xml:space="preserve"> </w:t>
      </w:r>
      <w:r w:rsidR="001E3635" w:rsidRPr="001E3635">
        <w:rPr>
          <w:rFonts w:ascii="Garamond" w:hAnsi="Garamond"/>
          <w:sz w:val="24"/>
          <w:szCs w:val="24"/>
        </w:rPr>
        <w:t xml:space="preserve">El sistema elegido determina que el intermediario será elegido por el juez de garantía durante la audiencia de preparación de juicio oral, siempre dentro de aquellos que cumplan con los requisitos del artículo 19. No obstante, para efectos que el Tribunal Oral en lo Penal mantuviere la </w:t>
      </w:r>
      <w:r w:rsidR="001E3635" w:rsidRPr="001E3635">
        <w:rPr>
          <w:rFonts w:ascii="Garamond" w:hAnsi="Garamond"/>
          <w:i/>
          <w:sz w:val="24"/>
          <w:szCs w:val="24"/>
        </w:rPr>
        <w:t>dirección</w:t>
      </w:r>
      <w:r w:rsidR="001E3635" w:rsidRPr="001E3635">
        <w:rPr>
          <w:rFonts w:ascii="Garamond" w:hAnsi="Garamond"/>
          <w:sz w:val="24"/>
          <w:szCs w:val="24"/>
        </w:rPr>
        <w:t xml:space="preserve"> del juicio, la sala designada, en la resolución a la que se refiere el artículo 281 del Código Procesal Penal, puede resolver mantener esa designación o preferir un funcionario del Poder Judicial o un juez del mismo tribunal, que cumpla con los requisitos referidos.</w:t>
      </w:r>
    </w:p>
    <w:p w:rsidR="00FA1FCD" w:rsidRPr="001E3635" w:rsidRDefault="001E3635" w:rsidP="001E3635">
      <w:pPr>
        <w:pStyle w:val="Prrafodelista"/>
        <w:spacing w:line="240" w:lineRule="auto"/>
        <w:jc w:val="both"/>
        <w:rPr>
          <w:rFonts w:ascii="Garamond" w:hAnsi="Garamond"/>
          <w:sz w:val="24"/>
          <w:szCs w:val="24"/>
          <w:lang w:val="es-ES_tradnl"/>
        </w:rPr>
      </w:pPr>
      <w:r w:rsidRPr="001E3635">
        <w:rPr>
          <w:rFonts w:ascii="Garamond" w:hAnsi="Garamond"/>
          <w:sz w:val="24"/>
          <w:szCs w:val="24"/>
          <w:lang w:val="es-ES_tradnl"/>
        </w:rPr>
        <w:t>Tal como lo indicó la representante del Poder Judicial en la discusión de las modificaciones, la</w:t>
      </w:r>
      <w:r w:rsidR="00FA1FCD" w:rsidRPr="001E3635">
        <w:rPr>
          <w:rFonts w:ascii="Garamond" w:hAnsi="Garamond"/>
          <w:sz w:val="24"/>
          <w:szCs w:val="24"/>
          <w:lang w:val="es-ES_tradnl"/>
        </w:rPr>
        <w:t xml:space="preserve"> norma postula, dentro del contexto ya aprobado por el Senado, que la designación del intermediario pueda modificarse, disponiéndose que actúe como tal un funcionario del Poder Judicial o un juez del mismo tribunal, que cuente con la acreditación requerida para oficiar de entrevistador.</w:t>
      </w:r>
    </w:p>
    <w:p w:rsidR="00C24170" w:rsidRPr="001E3635" w:rsidRDefault="00C24170" w:rsidP="00C24170">
      <w:pPr>
        <w:pStyle w:val="Prrafodelista"/>
        <w:rPr>
          <w:rFonts w:ascii="Garamond" w:hAnsi="Garamond"/>
          <w:sz w:val="24"/>
          <w:szCs w:val="24"/>
        </w:rPr>
      </w:pPr>
    </w:p>
    <w:p w:rsidR="007469F2" w:rsidRPr="001E3635" w:rsidRDefault="007469F2" w:rsidP="00C24170">
      <w:pPr>
        <w:spacing w:line="240" w:lineRule="auto"/>
        <w:jc w:val="both"/>
        <w:rPr>
          <w:rFonts w:ascii="Garamond" w:hAnsi="Garamond"/>
          <w:sz w:val="24"/>
          <w:szCs w:val="24"/>
        </w:rPr>
      </w:pPr>
    </w:p>
    <w:sectPr w:rsidR="007469F2" w:rsidRPr="001E3635" w:rsidSect="004859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BE7" w:rsidRDefault="00AA3BE7" w:rsidP="00767742">
      <w:pPr>
        <w:spacing w:after="0" w:line="240" w:lineRule="auto"/>
      </w:pPr>
      <w:r>
        <w:separator/>
      </w:r>
    </w:p>
  </w:endnote>
  <w:endnote w:type="continuationSeparator" w:id="0">
    <w:p w:rsidR="00AA3BE7" w:rsidRDefault="00AA3BE7" w:rsidP="0076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BE7" w:rsidRDefault="00AA3BE7" w:rsidP="00767742">
      <w:pPr>
        <w:spacing w:after="0" w:line="240" w:lineRule="auto"/>
      </w:pPr>
      <w:r>
        <w:separator/>
      </w:r>
    </w:p>
  </w:footnote>
  <w:footnote w:type="continuationSeparator" w:id="0">
    <w:p w:rsidR="00AA3BE7" w:rsidRDefault="00AA3BE7" w:rsidP="00767742">
      <w:pPr>
        <w:spacing w:after="0" w:line="240" w:lineRule="auto"/>
      </w:pPr>
      <w:r>
        <w:continuationSeparator/>
      </w:r>
    </w:p>
  </w:footnote>
  <w:footnote w:id="1">
    <w:p w:rsidR="00767742" w:rsidRDefault="00767742">
      <w:pPr>
        <w:pStyle w:val="Textonotapie"/>
      </w:pPr>
      <w:r>
        <w:rPr>
          <w:rStyle w:val="Refdenotaalpie"/>
        </w:rPr>
        <w:footnoteRef/>
      </w:r>
      <w:r>
        <w:t xml:space="preserve"> </w:t>
      </w:r>
      <w:r w:rsidRPr="00767742">
        <w:rPr>
          <w:rFonts w:ascii="Garamond" w:hAnsi="Garamond"/>
        </w:rPr>
        <w:t>Cifras expuestas en el texto “Abuso sexual en Chile, una aproximación desde las políticas públicas”, Noelia Córdova Rivera, Editorial Metropolitana, impreso en octubre de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5771"/>
    <w:multiLevelType w:val="hybridMultilevel"/>
    <w:tmpl w:val="C5ECA358"/>
    <w:lvl w:ilvl="0" w:tplc="4CBE705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2B510859"/>
    <w:multiLevelType w:val="hybridMultilevel"/>
    <w:tmpl w:val="F8521E1C"/>
    <w:lvl w:ilvl="0" w:tplc="8BC47708">
      <w:start w:val="1"/>
      <w:numFmt w:val="decimal"/>
      <w:lvlText w:val="%1."/>
      <w:lvlJc w:val="left"/>
      <w:pPr>
        <w:ind w:left="1776"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 w15:restartNumberingAfterBreak="0">
    <w:nsid w:val="60C41BEE"/>
    <w:multiLevelType w:val="hybridMultilevel"/>
    <w:tmpl w:val="E18A17A0"/>
    <w:lvl w:ilvl="0" w:tplc="C1FEA844">
      <w:start w:val="1"/>
      <w:numFmt w:val="lowerLetter"/>
      <w:lvlText w:val="%1."/>
      <w:lvlJc w:val="left"/>
      <w:pPr>
        <w:ind w:left="720" w:hanging="360"/>
      </w:pPr>
      <w:rPr>
        <w:rFonts w:ascii="Garamond" w:eastAsiaTheme="minorHAnsi" w:hAnsi="Garamond" w:cstheme="minorBid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ECF4415"/>
    <w:multiLevelType w:val="hybridMultilevel"/>
    <w:tmpl w:val="AD8E99FA"/>
    <w:lvl w:ilvl="0" w:tplc="4F12D2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47"/>
    <w:rsid w:val="00007D7E"/>
    <w:rsid w:val="00067925"/>
    <w:rsid w:val="001969D2"/>
    <w:rsid w:val="001E3635"/>
    <w:rsid w:val="0037482A"/>
    <w:rsid w:val="003C6171"/>
    <w:rsid w:val="003D7063"/>
    <w:rsid w:val="00402F10"/>
    <w:rsid w:val="00441D82"/>
    <w:rsid w:val="00485925"/>
    <w:rsid w:val="00547650"/>
    <w:rsid w:val="006079F7"/>
    <w:rsid w:val="006B5547"/>
    <w:rsid w:val="0072668D"/>
    <w:rsid w:val="00737675"/>
    <w:rsid w:val="007469F2"/>
    <w:rsid w:val="007639A9"/>
    <w:rsid w:val="00767742"/>
    <w:rsid w:val="00770B5E"/>
    <w:rsid w:val="00865C1E"/>
    <w:rsid w:val="008A3E55"/>
    <w:rsid w:val="008F0B42"/>
    <w:rsid w:val="00A3187A"/>
    <w:rsid w:val="00A65DD2"/>
    <w:rsid w:val="00A91B96"/>
    <w:rsid w:val="00AA3BE7"/>
    <w:rsid w:val="00BE71F5"/>
    <w:rsid w:val="00C24170"/>
    <w:rsid w:val="00C953E9"/>
    <w:rsid w:val="00CC1281"/>
    <w:rsid w:val="00E84315"/>
    <w:rsid w:val="00EF2A18"/>
    <w:rsid w:val="00F33750"/>
    <w:rsid w:val="00F44134"/>
    <w:rsid w:val="00FA1F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0019"/>
  <w15:docId w15:val="{233D198C-670D-4440-92B5-34121E58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5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547"/>
    <w:pPr>
      <w:ind w:left="720"/>
      <w:contextualSpacing/>
    </w:pPr>
  </w:style>
  <w:style w:type="paragraph" w:styleId="Encabezado">
    <w:name w:val="header"/>
    <w:basedOn w:val="Normal"/>
    <w:link w:val="EncabezadoCar"/>
    <w:uiPriority w:val="99"/>
    <w:unhideWhenUsed/>
    <w:rsid w:val="00A91B96"/>
    <w:pPr>
      <w:tabs>
        <w:tab w:val="center" w:pos="4419"/>
        <w:tab w:val="right" w:pos="8838"/>
      </w:tabs>
      <w:spacing w:after="0" w:line="240" w:lineRule="auto"/>
    </w:pPr>
    <w:rPr>
      <w:rFonts w:ascii="Cambria" w:eastAsia="MS Mincho" w:hAnsi="Cambria" w:cs="Times New Roman"/>
      <w:sz w:val="24"/>
      <w:szCs w:val="24"/>
      <w:lang w:val="es-ES_tradnl" w:eastAsia="es-ES"/>
    </w:rPr>
  </w:style>
  <w:style w:type="character" w:customStyle="1" w:styleId="EncabezadoCar">
    <w:name w:val="Encabezado Car"/>
    <w:basedOn w:val="Fuentedeprrafopredeter"/>
    <w:link w:val="Encabezado"/>
    <w:uiPriority w:val="99"/>
    <w:rsid w:val="00A91B96"/>
    <w:rPr>
      <w:rFonts w:ascii="Cambria" w:eastAsia="MS Mincho" w:hAnsi="Cambria" w:cs="Times New Roman"/>
      <w:sz w:val="24"/>
      <w:szCs w:val="24"/>
      <w:lang w:val="es-ES_tradnl" w:eastAsia="es-ES"/>
    </w:rPr>
  </w:style>
  <w:style w:type="paragraph" w:styleId="Textonotapie">
    <w:name w:val="footnote text"/>
    <w:basedOn w:val="Normal"/>
    <w:link w:val="TextonotapieCar"/>
    <w:uiPriority w:val="99"/>
    <w:semiHidden/>
    <w:unhideWhenUsed/>
    <w:rsid w:val="007677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7742"/>
    <w:rPr>
      <w:sz w:val="20"/>
      <w:szCs w:val="20"/>
    </w:rPr>
  </w:style>
  <w:style w:type="character" w:styleId="Refdenotaalpie">
    <w:name w:val="footnote reference"/>
    <w:basedOn w:val="Fuentedeprrafopredeter"/>
    <w:uiPriority w:val="99"/>
    <w:semiHidden/>
    <w:unhideWhenUsed/>
    <w:rsid w:val="00767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A67F6-B3DE-4E43-947F-5AF6A214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1236</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 Wildner</cp:lastModifiedBy>
  <cp:revision>4</cp:revision>
  <dcterms:created xsi:type="dcterms:W3CDTF">2017-10-10T04:33:00Z</dcterms:created>
  <dcterms:modified xsi:type="dcterms:W3CDTF">2017-10-10T09:22:00Z</dcterms:modified>
</cp:coreProperties>
</file>