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8"/>
      </w:tblGrid>
      <w:tr w:rsidR="00062C6C" w14:paraId="2B39B15B" w14:textId="77777777" w:rsidTr="00944CF3">
        <w:tc>
          <w:tcPr>
            <w:tcW w:w="1666" w:type="pct"/>
          </w:tcPr>
          <w:p w14:paraId="2D818384" w14:textId="77777777" w:rsidR="00062C6C" w:rsidRDefault="00062C6C" w:rsidP="00944CF3"/>
          <w:p w14:paraId="5C9F2B27" w14:textId="77777777" w:rsidR="00062C6C" w:rsidRPr="00426F78" w:rsidRDefault="00062C6C" w:rsidP="00944CF3">
            <w:pPr>
              <w:rPr>
                <w:b/>
              </w:rPr>
            </w:pPr>
            <w:r w:rsidRPr="00426F78">
              <w:rPr>
                <w:b/>
              </w:rPr>
              <w:t xml:space="preserve">Artículo 27.- De la administración provisional. El Director </w:t>
            </w:r>
            <w:commentRangeStart w:id="0"/>
            <w:r w:rsidRPr="00426F78">
              <w:rPr>
                <w:b/>
              </w:rPr>
              <w:t>Regional</w:t>
            </w:r>
            <w:commentRangeEnd w:id="0"/>
            <w:r>
              <w:rPr>
                <w:rStyle w:val="Refdecomentario"/>
              </w:rPr>
              <w:commentReference w:id="0"/>
            </w:r>
            <w:r w:rsidRPr="00426F78">
              <w:rPr>
                <w:b/>
              </w:rPr>
              <w:t xml:space="preserve">, </w:t>
            </w:r>
            <w:commentRangeStart w:id="1"/>
            <w:r w:rsidRPr="00426F78">
              <w:rPr>
                <w:b/>
              </w:rPr>
              <w:t>mediante</w:t>
            </w:r>
            <w:commentRangeEnd w:id="1"/>
            <w:r>
              <w:rPr>
                <w:rStyle w:val="Refdecomentario"/>
              </w:rPr>
              <w:commentReference w:id="1"/>
            </w:r>
            <w:r w:rsidRPr="00426F78">
              <w:rPr>
                <w:b/>
              </w:rPr>
              <w:t xml:space="preserve"> resolución fundada, podrá disponer la administración provisional directa de un programa ejecutado por un organismo acreditado, con el objeto de asegurar su adecuado funcionamiento y la continuidad del Servicio hasta el término del contrato, conforme a lo dispuesto en el reglamento.</w:t>
            </w:r>
          </w:p>
          <w:p w14:paraId="61476CF4" w14:textId="77777777" w:rsidR="00062C6C" w:rsidRPr="00426F78" w:rsidRDefault="00062C6C" w:rsidP="00944CF3">
            <w:pPr>
              <w:rPr>
                <w:b/>
              </w:rPr>
            </w:pPr>
          </w:p>
          <w:p w14:paraId="0C2BBB2A" w14:textId="77777777" w:rsidR="00062C6C" w:rsidRPr="00426F78" w:rsidRDefault="00062C6C" w:rsidP="00944CF3">
            <w:pPr>
              <w:rPr>
                <w:b/>
              </w:rPr>
            </w:pPr>
            <w:r w:rsidRPr="00426F78">
              <w:rPr>
                <w:b/>
              </w:rPr>
              <w:t>Para efectos del inciso anterior se entenderá por caso calificado los siguientes:</w:t>
            </w:r>
            <w:r>
              <w:rPr>
                <w:rStyle w:val="Refdecomentario"/>
              </w:rPr>
              <w:commentReference w:id="2"/>
            </w:r>
          </w:p>
          <w:p w14:paraId="04B7EAAA" w14:textId="77777777" w:rsidR="00062C6C" w:rsidRPr="00426F78" w:rsidRDefault="00062C6C" w:rsidP="00944CF3">
            <w:pPr>
              <w:rPr>
                <w:b/>
              </w:rPr>
            </w:pPr>
          </w:p>
          <w:p w14:paraId="1EB23C46" w14:textId="77777777" w:rsidR="00062C6C" w:rsidRPr="00426F78" w:rsidRDefault="00062C6C" w:rsidP="00944CF3">
            <w:pPr>
              <w:rPr>
                <w:b/>
              </w:rPr>
            </w:pPr>
            <w:r w:rsidRPr="00426F78">
              <w:rPr>
                <w:b/>
              </w:rPr>
              <w:t>a) Cuando exista una evaluación negativa del desempeño del programa y exista riesgo de afectar la vida o integridad física de los jóvenes.</w:t>
            </w:r>
          </w:p>
          <w:p w14:paraId="36BF0BF8" w14:textId="77777777" w:rsidR="00062C6C" w:rsidRPr="00426F78" w:rsidRDefault="00062C6C" w:rsidP="00944CF3">
            <w:pPr>
              <w:rPr>
                <w:b/>
              </w:rPr>
            </w:pPr>
          </w:p>
          <w:p w14:paraId="5A3AE7F5" w14:textId="77777777" w:rsidR="00062C6C" w:rsidRPr="00426F78" w:rsidRDefault="00062C6C" w:rsidP="00944CF3">
            <w:pPr>
              <w:rPr>
                <w:b/>
              </w:rPr>
            </w:pPr>
            <w:r w:rsidRPr="00426F78">
              <w:rPr>
                <w:b/>
              </w:rPr>
              <w:t>b) Cuando el incumplimiento de las obligaciones del convenio ponga en riesgo la continuidad del servicio.</w:t>
            </w:r>
          </w:p>
          <w:p w14:paraId="20E18B0E" w14:textId="77777777" w:rsidR="00062C6C" w:rsidRPr="00426F78" w:rsidRDefault="00062C6C" w:rsidP="00944CF3">
            <w:pPr>
              <w:rPr>
                <w:b/>
              </w:rPr>
            </w:pPr>
          </w:p>
          <w:p w14:paraId="07A064E4" w14:textId="77777777" w:rsidR="00062C6C" w:rsidRPr="00426F78" w:rsidRDefault="00062C6C" w:rsidP="00944CF3">
            <w:pPr>
              <w:rPr>
                <w:b/>
              </w:rPr>
            </w:pPr>
            <w:r w:rsidRPr="00426F78">
              <w:rPr>
                <w:b/>
              </w:rPr>
              <w:t>c) Cuando, por razones imputables al organismo acreditado, se haga imposible la mantención del servicio a consecuencia de sanciones, medidas precautorias, embargos, ejecuciones o retiros que afecten sus bienes.</w:t>
            </w:r>
          </w:p>
          <w:p w14:paraId="2F4B3946" w14:textId="77777777" w:rsidR="00062C6C" w:rsidRPr="00426F78" w:rsidRDefault="00062C6C" w:rsidP="00944CF3">
            <w:pPr>
              <w:rPr>
                <w:b/>
              </w:rPr>
            </w:pPr>
          </w:p>
          <w:p w14:paraId="73E0FFFA" w14:textId="77777777" w:rsidR="00062C6C" w:rsidRPr="00426F78" w:rsidRDefault="00062C6C" w:rsidP="00944CF3">
            <w:pPr>
              <w:rPr>
                <w:b/>
              </w:rPr>
            </w:pPr>
            <w:r w:rsidRPr="00426F78">
              <w:rPr>
                <w:b/>
              </w:rPr>
              <w:t>d) Cuando exista atraso reiterado en el pago de las remuneraciones o de las cotizaciones previsionales o de salud del personal del programa. Se entenderá por atraso reiterado la mora total o parcial en el pago de tres meses consecutivos o de tres en un período de seis meses en un año.</w:t>
            </w:r>
          </w:p>
          <w:p w14:paraId="19C919F3" w14:textId="77777777" w:rsidR="00062C6C" w:rsidRPr="00426F78" w:rsidRDefault="00062C6C" w:rsidP="00944CF3">
            <w:pPr>
              <w:rPr>
                <w:b/>
              </w:rPr>
            </w:pPr>
          </w:p>
          <w:p w14:paraId="52F54A21" w14:textId="77777777" w:rsidR="00062C6C" w:rsidRPr="00426F78" w:rsidRDefault="00062C6C" w:rsidP="00944CF3">
            <w:pPr>
              <w:rPr>
                <w:b/>
              </w:rPr>
            </w:pPr>
            <w:r w:rsidRPr="00426F78">
              <w:rPr>
                <w:b/>
              </w:rPr>
              <w:t>e) Cuando, por causa imputable al organismo acreditado, se suspendan reiteradamente los servicios básicos para el buen funcionamiento del centro o programa.</w:t>
            </w:r>
          </w:p>
          <w:p w14:paraId="2729BF70" w14:textId="77777777" w:rsidR="00062C6C" w:rsidRPr="00426F78" w:rsidRDefault="00062C6C" w:rsidP="00944CF3">
            <w:pPr>
              <w:rPr>
                <w:b/>
              </w:rPr>
            </w:pPr>
          </w:p>
          <w:p w14:paraId="07A1F14D" w14:textId="77777777" w:rsidR="00062C6C" w:rsidRPr="00426F78" w:rsidRDefault="00062C6C" w:rsidP="00944CF3">
            <w:pPr>
              <w:rPr>
                <w:b/>
              </w:rPr>
            </w:pPr>
            <w:r w:rsidRPr="00426F78">
              <w:rPr>
                <w:b/>
              </w:rPr>
              <w:t>f) Cuando, en la ejecución del programa se produzcan hechos de violencia contra los jóvenes, sin que el organismo acreditado haya tomado medidas conducentes a su protección.</w:t>
            </w:r>
          </w:p>
          <w:p w14:paraId="6AB2C0A1" w14:textId="77777777" w:rsidR="00062C6C" w:rsidRPr="00426F78" w:rsidRDefault="00062C6C" w:rsidP="00944CF3">
            <w:pPr>
              <w:rPr>
                <w:b/>
              </w:rPr>
            </w:pPr>
          </w:p>
          <w:p w14:paraId="6694E064" w14:textId="77777777" w:rsidR="00062C6C" w:rsidRPr="00426F78" w:rsidRDefault="00062C6C" w:rsidP="00944CF3">
            <w:pPr>
              <w:rPr>
                <w:b/>
              </w:rPr>
            </w:pPr>
            <w:r w:rsidRPr="00426F78">
              <w:rPr>
                <w:b/>
              </w:rPr>
              <w:t>La resolución del Director Regional se notificará por carta certificada al organismo acreditado para que éste, dentro del plazo de cinco días hábiles contados desde dicha notificación, pueda reclamar administrativamente ante el Director Nacional.</w:t>
            </w:r>
          </w:p>
          <w:p w14:paraId="7871387D" w14:textId="77777777" w:rsidR="00062C6C" w:rsidRPr="00426F78" w:rsidRDefault="00062C6C" w:rsidP="00944CF3">
            <w:pPr>
              <w:rPr>
                <w:b/>
              </w:rPr>
            </w:pPr>
          </w:p>
          <w:p w14:paraId="2A90FD49" w14:textId="77777777" w:rsidR="00062C6C" w:rsidRPr="00426F78" w:rsidRDefault="00062C6C" w:rsidP="00944CF3">
            <w:pPr>
              <w:rPr>
                <w:b/>
              </w:rPr>
            </w:pPr>
            <w:r w:rsidRPr="00426F78">
              <w:rPr>
                <w:b/>
              </w:rPr>
              <w:t>La entidad o prestador acreditado afectado por la aplicación de una sanción podrá reclamar la legalidad de la misma dentro del plazo de diez días hábiles, contado desde la notificación de la respectiva resolución, ante la Corte de Apelaciones correspondiente a su domicilio.</w:t>
            </w:r>
          </w:p>
          <w:p w14:paraId="1751A653" w14:textId="77777777" w:rsidR="00062C6C" w:rsidRPr="00426F78" w:rsidRDefault="00062C6C" w:rsidP="00944CF3">
            <w:pPr>
              <w:rPr>
                <w:b/>
              </w:rPr>
            </w:pPr>
          </w:p>
          <w:p w14:paraId="32667899" w14:textId="77777777" w:rsidR="00062C6C" w:rsidRPr="00426F78" w:rsidRDefault="00062C6C" w:rsidP="00944CF3">
            <w:pPr>
              <w:rPr>
                <w:b/>
              </w:rPr>
            </w:pPr>
            <w:r w:rsidRPr="00426F78">
              <w:rPr>
                <w:b/>
              </w:rPr>
              <w:t>La Corte de Apelaciones dará traslado de la reclamación al Servicio, notificándolo por oficio. Éste dispondrá del plazo de diez días hábiles contado desde que se notifique la reclamación interpuesta, para formular observaciones.</w:t>
            </w:r>
          </w:p>
          <w:p w14:paraId="202D5323" w14:textId="77777777" w:rsidR="00062C6C" w:rsidRPr="00426F78" w:rsidRDefault="00062C6C" w:rsidP="00944CF3">
            <w:pPr>
              <w:rPr>
                <w:b/>
              </w:rPr>
            </w:pPr>
          </w:p>
          <w:p w14:paraId="05DB191F" w14:textId="77777777" w:rsidR="00062C6C" w:rsidRPr="00426F78" w:rsidRDefault="00062C6C" w:rsidP="00944CF3">
            <w:pPr>
              <w:rPr>
                <w:b/>
              </w:rPr>
            </w:pPr>
            <w:r w:rsidRPr="00426F78">
              <w:rPr>
                <w:b/>
              </w:rPr>
              <w:t>Evacuado el traslado por el Servicio o vencido el plazo de que dispone para formular observaciones, el tribunal ordenará traer los autos en relación y la causa se agregará extraordinariamente a la tabla de la audiencia más próxima, previo sorteo de la Sala. La Corte podrá abrir un término probatorio, que no podrá exceder de siete días hábiles, y escuchar los alegatos de las partes.</w:t>
            </w:r>
          </w:p>
          <w:p w14:paraId="415F5E9A" w14:textId="77777777" w:rsidR="00062C6C" w:rsidRPr="00426F78" w:rsidRDefault="00062C6C" w:rsidP="00944CF3">
            <w:pPr>
              <w:rPr>
                <w:b/>
              </w:rPr>
            </w:pPr>
          </w:p>
          <w:p w14:paraId="02BD1776" w14:textId="77777777" w:rsidR="00062C6C" w:rsidRDefault="00062C6C" w:rsidP="00944CF3">
            <w:r w:rsidRPr="00426F78">
              <w:rPr>
                <w:b/>
              </w:rPr>
              <w:lastRenderedPageBreak/>
              <w:t>La Corte dictará sentencia dentro del término de quince días hábiles, la que será inapelable.</w:t>
            </w:r>
          </w:p>
        </w:tc>
      </w:tr>
    </w:tbl>
    <w:p w14:paraId="5F55BF55" w14:textId="77777777" w:rsidR="00815DB8" w:rsidRDefault="00815DB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8"/>
      </w:tblGrid>
      <w:tr w:rsidR="00062C6C" w:rsidRPr="00062C6C" w14:paraId="5583C04C" w14:textId="77777777" w:rsidTr="00944CF3">
        <w:tc>
          <w:tcPr>
            <w:tcW w:w="1666" w:type="pct"/>
          </w:tcPr>
          <w:p w14:paraId="779A1776" w14:textId="77777777" w:rsidR="00062C6C" w:rsidRPr="00062C6C" w:rsidRDefault="00062C6C" w:rsidP="00062C6C"/>
          <w:p w14:paraId="6D83062C" w14:textId="77777777" w:rsidR="00062C6C" w:rsidRPr="00062C6C" w:rsidRDefault="00062C6C" w:rsidP="00062C6C">
            <w:pPr>
              <w:rPr>
                <w:b/>
              </w:rPr>
            </w:pPr>
            <w:r w:rsidRPr="00062C6C">
              <w:rPr>
                <w:b/>
              </w:rPr>
              <w:t xml:space="preserve">Artículo 30.-  Supervisión de Centros Privativos de Libertad Regulados por la ley </w:t>
            </w:r>
            <w:proofErr w:type="spellStart"/>
            <w:r w:rsidRPr="00062C6C">
              <w:rPr>
                <w:b/>
              </w:rPr>
              <w:t>N°</w:t>
            </w:r>
            <w:proofErr w:type="spellEnd"/>
            <w:r w:rsidRPr="00062C6C">
              <w:rPr>
                <w:b/>
              </w:rPr>
              <w:t xml:space="preserve"> 20.084. Las Direcciones Regionales del Servicio deberán supervisar el resultado de los indicadores de estándares de </w:t>
            </w:r>
            <w:commentRangeStart w:id="3"/>
            <w:r w:rsidRPr="00062C6C">
              <w:rPr>
                <w:b/>
              </w:rPr>
              <w:t>calidad</w:t>
            </w:r>
            <w:commentRangeEnd w:id="3"/>
            <w:r>
              <w:rPr>
                <w:rStyle w:val="Refdecomentario"/>
              </w:rPr>
              <w:commentReference w:id="3"/>
            </w:r>
            <w:r w:rsidRPr="00062C6C">
              <w:rPr>
                <w:b/>
              </w:rPr>
              <w:t xml:space="preserve"> para los centros privativos de libertad regulados por la ley </w:t>
            </w:r>
            <w:proofErr w:type="spellStart"/>
            <w:r w:rsidRPr="00062C6C">
              <w:rPr>
                <w:b/>
              </w:rPr>
              <w:t>N°</w:t>
            </w:r>
            <w:proofErr w:type="spellEnd"/>
            <w:r w:rsidRPr="00062C6C">
              <w:rPr>
                <w:b/>
              </w:rPr>
              <w:t xml:space="preserve"> 20.084, a través de inspecciones periódicas de supervisión a los centros de cada región, generando informes públicos de resultados por cada inspección.</w:t>
            </w:r>
          </w:p>
          <w:p w14:paraId="5690AD02" w14:textId="77777777" w:rsidR="00062C6C" w:rsidRPr="00062C6C" w:rsidRDefault="00062C6C" w:rsidP="00062C6C">
            <w:pPr>
              <w:rPr>
                <w:b/>
              </w:rPr>
            </w:pPr>
          </w:p>
          <w:p w14:paraId="074A1CA4" w14:textId="77777777" w:rsidR="00062C6C" w:rsidRPr="00062C6C" w:rsidRDefault="00062C6C" w:rsidP="00062C6C">
            <w:pPr>
              <w:rPr>
                <w:b/>
              </w:rPr>
            </w:pPr>
            <w:r w:rsidRPr="00062C6C">
              <w:rPr>
                <w:b/>
              </w:rPr>
              <w:t>Asimismo, la supervisión de los centros privativos de libertad será efectuada por el Ministerio de Justicia y Derechos Humanos a través de las Comisiones Interinstitucionales de Supervisión de Centros reguladas por el reglamento de la ley N°20.</w:t>
            </w:r>
            <w:commentRangeStart w:id="4"/>
            <w:r w:rsidRPr="00062C6C">
              <w:rPr>
                <w:b/>
              </w:rPr>
              <w:t>084</w:t>
            </w:r>
            <w:commentRangeEnd w:id="4"/>
            <w:r>
              <w:rPr>
                <w:rStyle w:val="Refdecomentario"/>
              </w:rPr>
              <w:commentReference w:id="4"/>
            </w:r>
            <w:r w:rsidRPr="00062C6C">
              <w:rPr>
                <w:b/>
              </w:rPr>
              <w:t>.</w:t>
            </w:r>
          </w:p>
          <w:p w14:paraId="41397D2B" w14:textId="77777777" w:rsidR="00062C6C" w:rsidRPr="00062C6C" w:rsidRDefault="00062C6C" w:rsidP="00062C6C"/>
        </w:tc>
      </w:tr>
      <w:tr w:rsidR="00062C6C" w:rsidRPr="00062C6C" w14:paraId="3420762D" w14:textId="77777777" w:rsidTr="00944CF3">
        <w:tc>
          <w:tcPr>
            <w:tcW w:w="1666" w:type="pct"/>
          </w:tcPr>
          <w:p w14:paraId="3A75101B" w14:textId="77777777" w:rsidR="00062C6C" w:rsidRPr="00062C6C" w:rsidRDefault="00062C6C" w:rsidP="00062C6C"/>
          <w:p w14:paraId="37F7B63F" w14:textId="77777777" w:rsidR="00062C6C" w:rsidRPr="00062C6C" w:rsidRDefault="00062C6C" w:rsidP="00062C6C">
            <w:pPr>
              <w:rPr>
                <w:b/>
              </w:rPr>
            </w:pPr>
            <w:r w:rsidRPr="00062C6C">
              <w:rPr>
                <w:b/>
              </w:rPr>
              <w:t xml:space="preserve">Artículo 31.- Supervisión de programas de medio libre. La supervisión de los programas de medio libre se efectuará por la respectiva Dirección Regional y deberá contemplar de manera integral los aspectos financieros y técnicos. </w:t>
            </w:r>
          </w:p>
          <w:p w14:paraId="351771F1" w14:textId="77777777" w:rsidR="00062C6C" w:rsidRPr="00062C6C" w:rsidRDefault="00062C6C" w:rsidP="00062C6C">
            <w:pPr>
              <w:rPr>
                <w:b/>
              </w:rPr>
            </w:pPr>
          </w:p>
          <w:p w14:paraId="5F7B0955" w14:textId="77777777" w:rsidR="00062C6C" w:rsidRPr="00062C6C" w:rsidRDefault="00062C6C" w:rsidP="00062C6C">
            <w:pPr>
              <w:rPr>
                <w:b/>
              </w:rPr>
            </w:pPr>
            <w:r w:rsidRPr="00062C6C">
              <w:rPr>
                <w:b/>
              </w:rPr>
              <w:t>Los organismos acreditados deberán prestar todas las facilidades para efectuar la referida supervisión.</w:t>
            </w:r>
          </w:p>
          <w:p w14:paraId="0E21F978" w14:textId="77777777" w:rsidR="00062C6C" w:rsidRPr="00062C6C" w:rsidRDefault="00062C6C" w:rsidP="00062C6C">
            <w:pPr>
              <w:rPr>
                <w:b/>
              </w:rPr>
            </w:pPr>
          </w:p>
          <w:p w14:paraId="486C202C" w14:textId="77777777" w:rsidR="00062C6C" w:rsidRPr="00062C6C" w:rsidRDefault="00062C6C" w:rsidP="00062C6C">
            <w:pPr>
              <w:rPr>
                <w:b/>
              </w:rPr>
            </w:pPr>
            <w:r w:rsidRPr="00062C6C">
              <w:rPr>
                <w:b/>
              </w:rPr>
              <w:t xml:space="preserve">Para efectos de lo dispuesto en el presente artículo, se efectuarán inspecciones evaluativas de manera periódica. </w:t>
            </w:r>
          </w:p>
          <w:p w14:paraId="771B1EEF" w14:textId="77777777" w:rsidR="00062C6C" w:rsidRPr="00062C6C" w:rsidRDefault="00062C6C" w:rsidP="00062C6C">
            <w:pPr>
              <w:rPr>
                <w:b/>
              </w:rPr>
            </w:pPr>
          </w:p>
          <w:p w14:paraId="667EA6B1" w14:textId="77777777" w:rsidR="00062C6C" w:rsidRPr="00062C6C" w:rsidRDefault="00062C6C" w:rsidP="00062C6C">
            <w:pPr>
              <w:rPr>
                <w:b/>
              </w:rPr>
            </w:pPr>
            <w:r w:rsidRPr="00062C6C">
              <w:rPr>
                <w:b/>
              </w:rPr>
              <w:t xml:space="preserve">La supervisión velará por el debido cumplimiento de los estándares fijados por el Servicio para cada programa y por el uso de los recursos en los fines estipulados en las bases de licitación y convenios correspondientes. </w:t>
            </w:r>
          </w:p>
          <w:p w14:paraId="23CDB57C" w14:textId="77777777" w:rsidR="00062C6C" w:rsidRPr="00062C6C" w:rsidRDefault="00062C6C" w:rsidP="00062C6C">
            <w:pPr>
              <w:rPr>
                <w:b/>
              </w:rPr>
            </w:pPr>
          </w:p>
          <w:p w14:paraId="25B82014" w14:textId="77777777" w:rsidR="00062C6C" w:rsidRPr="00062C6C" w:rsidRDefault="00062C6C" w:rsidP="00062C6C">
            <w:pPr>
              <w:rPr>
                <w:b/>
              </w:rPr>
            </w:pPr>
            <w:r w:rsidRPr="00062C6C">
              <w:rPr>
                <w:b/>
              </w:rPr>
              <w:t xml:space="preserve">El organismo acreditado deberá enviar un informe periódico que detalle la demanda atendida, su descripción, inconvenientes y otros aspectos relevantes, conforme a lo establecido en el </w:t>
            </w:r>
            <w:commentRangeStart w:id="5"/>
            <w:r w:rsidRPr="00062C6C">
              <w:rPr>
                <w:b/>
              </w:rPr>
              <w:t>reglamento</w:t>
            </w:r>
            <w:commentRangeEnd w:id="5"/>
            <w:r>
              <w:rPr>
                <w:rStyle w:val="Refdecomentario"/>
              </w:rPr>
              <w:commentReference w:id="5"/>
            </w:r>
            <w:r w:rsidRPr="00062C6C">
              <w:rPr>
                <w:b/>
              </w:rPr>
              <w:t>.</w:t>
            </w:r>
          </w:p>
          <w:p w14:paraId="23B3646D" w14:textId="77777777" w:rsidR="00062C6C" w:rsidRPr="00062C6C" w:rsidRDefault="00062C6C" w:rsidP="00062C6C"/>
        </w:tc>
      </w:tr>
      <w:tr w:rsidR="00062C6C" w:rsidRPr="00062C6C" w14:paraId="10228A28" w14:textId="77777777" w:rsidTr="00944CF3">
        <w:tc>
          <w:tcPr>
            <w:tcW w:w="1666" w:type="pct"/>
          </w:tcPr>
          <w:p w14:paraId="5C626840" w14:textId="77777777" w:rsidR="00062C6C" w:rsidRPr="00062C6C" w:rsidRDefault="00062C6C" w:rsidP="00062C6C"/>
          <w:p w14:paraId="4646392A" w14:textId="77777777" w:rsidR="00062C6C" w:rsidRPr="00062C6C" w:rsidRDefault="00062C6C" w:rsidP="00062C6C">
            <w:pPr>
              <w:rPr>
                <w:b/>
              </w:rPr>
            </w:pPr>
            <w:r w:rsidRPr="00062C6C">
              <w:rPr>
                <w:b/>
              </w:rPr>
              <w:t>Artículo 32.-  Sanciones. Frente a causales de incumplimiento de los respectivos convenios, por parte de los organismos colaboradores acreditados, el Servicio podrá, según su gravedad, aplicar las siguientes medidas, las que deberán ser contempladas en las bases de licitación correspondientes:</w:t>
            </w:r>
          </w:p>
          <w:p w14:paraId="0F0BD8E7" w14:textId="77777777" w:rsidR="00062C6C" w:rsidRPr="00062C6C" w:rsidRDefault="00062C6C" w:rsidP="00062C6C">
            <w:pPr>
              <w:rPr>
                <w:b/>
              </w:rPr>
            </w:pPr>
          </w:p>
          <w:p w14:paraId="548CC4D2" w14:textId="77777777" w:rsidR="00062C6C" w:rsidRPr="00062C6C" w:rsidRDefault="00062C6C" w:rsidP="00062C6C">
            <w:pPr>
              <w:rPr>
                <w:b/>
              </w:rPr>
            </w:pPr>
            <w:r w:rsidRPr="00062C6C">
              <w:rPr>
                <w:b/>
              </w:rPr>
              <w:t xml:space="preserve">a) Aplicar multas equivalentes a un 10 % y </w:t>
            </w:r>
            <w:commentRangeStart w:id="6"/>
            <w:r w:rsidRPr="00062C6C">
              <w:rPr>
                <w:b/>
              </w:rPr>
              <w:t>hasta</w:t>
            </w:r>
            <w:commentRangeEnd w:id="6"/>
            <w:r>
              <w:rPr>
                <w:rStyle w:val="Refdecomentario"/>
              </w:rPr>
              <w:commentReference w:id="6"/>
            </w:r>
            <w:r w:rsidRPr="00062C6C">
              <w:rPr>
                <w:b/>
              </w:rPr>
              <w:t xml:space="preserve"> un 60% del pago correspondiente. La multa podrá elevarse al doble en caso de reiteración. El monto de la multa dependerá de la gravedad del incumplimiento del que se trate, según los criterios que establezca el respectivo </w:t>
            </w:r>
            <w:commentRangeStart w:id="7"/>
            <w:commentRangeStart w:id="8"/>
            <w:r w:rsidRPr="00062C6C">
              <w:rPr>
                <w:b/>
              </w:rPr>
              <w:t>reglamento</w:t>
            </w:r>
            <w:commentRangeEnd w:id="7"/>
            <w:r>
              <w:rPr>
                <w:rStyle w:val="Refdecomentario"/>
              </w:rPr>
              <w:commentReference w:id="7"/>
            </w:r>
            <w:commentRangeEnd w:id="8"/>
            <w:r w:rsidR="004D3EB9">
              <w:rPr>
                <w:rStyle w:val="Refdecomentario"/>
              </w:rPr>
              <w:commentReference w:id="8"/>
            </w:r>
            <w:r w:rsidRPr="00062C6C">
              <w:rPr>
                <w:b/>
              </w:rPr>
              <w:t>.</w:t>
            </w:r>
          </w:p>
          <w:p w14:paraId="3767A141" w14:textId="77777777" w:rsidR="00062C6C" w:rsidRPr="00062C6C" w:rsidRDefault="00062C6C" w:rsidP="00062C6C">
            <w:pPr>
              <w:rPr>
                <w:b/>
              </w:rPr>
            </w:pPr>
          </w:p>
          <w:p w14:paraId="1DA202D9" w14:textId="77777777" w:rsidR="00062C6C" w:rsidRPr="00062C6C" w:rsidRDefault="00062C6C" w:rsidP="00062C6C">
            <w:pPr>
              <w:rPr>
                <w:b/>
              </w:rPr>
            </w:pPr>
            <w:r w:rsidRPr="00062C6C">
              <w:rPr>
                <w:b/>
              </w:rPr>
              <w:t>b) Disponer el término anticipado y unilateral del respectivo convenio, conforme a las causales establecidas en el reglamento.</w:t>
            </w:r>
          </w:p>
          <w:p w14:paraId="6B53F634" w14:textId="77777777" w:rsidR="00062C6C" w:rsidRPr="00062C6C" w:rsidRDefault="00062C6C" w:rsidP="00062C6C">
            <w:pPr>
              <w:rPr>
                <w:b/>
              </w:rPr>
            </w:pPr>
          </w:p>
          <w:p w14:paraId="0F190BA6" w14:textId="77777777" w:rsidR="00062C6C" w:rsidRPr="00062C6C" w:rsidRDefault="00062C6C" w:rsidP="00062C6C">
            <w:pPr>
              <w:rPr>
                <w:b/>
              </w:rPr>
            </w:pPr>
            <w:r w:rsidRPr="00062C6C">
              <w:rPr>
                <w:b/>
              </w:rPr>
              <w:t xml:space="preserve">c) Determinar la pérdida de la acreditación, previo informe del Consejo de Estándares y </w:t>
            </w:r>
            <w:commentRangeStart w:id="10"/>
            <w:r w:rsidRPr="00062C6C">
              <w:rPr>
                <w:b/>
              </w:rPr>
              <w:t>Acreditación</w:t>
            </w:r>
            <w:commentRangeEnd w:id="10"/>
            <w:r>
              <w:rPr>
                <w:rStyle w:val="Refdecomentario"/>
              </w:rPr>
              <w:commentReference w:id="10"/>
            </w:r>
            <w:r w:rsidRPr="00062C6C">
              <w:rPr>
                <w:b/>
              </w:rPr>
              <w:t xml:space="preserve">. </w:t>
            </w:r>
          </w:p>
          <w:p w14:paraId="4EE0A25D" w14:textId="77777777" w:rsidR="00062C6C" w:rsidRPr="00062C6C" w:rsidRDefault="00062C6C" w:rsidP="00062C6C">
            <w:pPr>
              <w:rPr>
                <w:b/>
              </w:rPr>
            </w:pPr>
          </w:p>
          <w:p w14:paraId="1AC1B96E" w14:textId="77777777" w:rsidR="00062C6C" w:rsidRPr="00062C6C" w:rsidRDefault="00062C6C" w:rsidP="00062C6C">
            <w:pPr>
              <w:rPr>
                <w:b/>
              </w:rPr>
            </w:pPr>
            <w:r w:rsidRPr="00062C6C">
              <w:rPr>
                <w:b/>
              </w:rPr>
              <w:t>Las sanciones anteriores procederán sin perjuicio de la pérdida de la personalidad jurídica, conforme a la ley.</w:t>
            </w:r>
          </w:p>
          <w:p w14:paraId="14F37D2A" w14:textId="77777777" w:rsidR="00062C6C" w:rsidRPr="00062C6C" w:rsidRDefault="00062C6C" w:rsidP="00062C6C">
            <w:pPr>
              <w:rPr>
                <w:b/>
              </w:rPr>
            </w:pPr>
          </w:p>
          <w:p w14:paraId="5C1583AE" w14:textId="77777777" w:rsidR="00062C6C" w:rsidRPr="00062C6C" w:rsidRDefault="00062C6C" w:rsidP="00062C6C">
            <w:pPr>
              <w:rPr>
                <w:b/>
              </w:rPr>
            </w:pPr>
            <w:r w:rsidRPr="00062C6C">
              <w:rPr>
                <w:b/>
              </w:rPr>
              <w:t>En caso de aplicación de la sanción prevista en la letra c), el prestador sancionado no podrá solicitar nuevamente la respectiva acreditación sino después de dos años desde que haya quedado firme la resolución que aplicó la sanción.</w:t>
            </w:r>
          </w:p>
          <w:p w14:paraId="406998BB" w14:textId="77777777" w:rsidR="00062C6C" w:rsidRPr="00062C6C" w:rsidRDefault="00062C6C" w:rsidP="00062C6C">
            <w:pPr>
              <w:rPr>
                <w:b/>
              </w:rPr>
            </w:pPr>
          </w:p>
          <w:p w14:paraId="2E1514B4" w14:textId="77777777" w:rsidR="00062C6C" w:rsidRPr="00062C6C" w:rsidRDefault="00062C6C" w:rsidP="00062C6C">
            <w:pPr>
              <w:rPr>
                <w:b/>
              </w:rPr>
            </w:pPr>
            <w:r w:rsidRPr="00062C6C">
              <w:rPr>
                <w:b/>
              </w:rPr>
              <w:t xml:space="preserve">Las resoluciones firmes que apliquen sanciones a entidades o prestadores acreditados deberán publicarse en el sitio electrónico mediante el cual el Servicio dé cumplimiento a las obligaciones de transparencia activa de la ley </w:t>
            </w:r>
            <w:proofErr w:type="spellStart"/>
            <w:r w:rsidRPr="00062C6C">
              <w:rPr>
                <w:b/>
              </w:rPr>
              <w:t>N°</w:t>
            </w:r>
            <w:proofErr w:type="spellEnd"/>
            <w:r w:rsidRPr="00062C6C">
              <w:rPr>
                <w:b/>
              </w:rPr>
              <w:t xml:space="preserve"> 20.285 sobre Acceso a la Información Pública.</w:t>
            </w:r>
          </w:p>
          <w:p w14:paraId="79C7FDE7" w14:textId="77777777" w:rsidR="00062C6C" w:rsidRPr="00062C6C" w:rsidRDefault="00062C6C" w:rsidP="00062C6C">
            <w:pPr>
              <w:rPr>
                <w:b/>
              </w:rPr>
            </w:pPr>
          </w:p>
          <w:p w14:paraId="08646FD2" w14:textId="77777777" w:rsidR="00062C6C" w:rsidRPr="00062C6C" w:rsidRDefault="00062C6C" w:rsidP="00062C6C">
            <w:r w:rsidRPr="00062C6C">
              <w:rPr>
                <w:b/>
              </w:rPr>
              <w:t>El organismo colaborador afectado por la imposición de una sanción podrá reclamar ante la Corte de Apelaciones respectiva, de conformidad con lo dispuesto en el artículo 27.</w:t>
            </w:r>
          </w:p>
        </w:tc>
      </w:tr>
    </w:tbl>
    <w:p w14:paraId="181AE338" w14:textId="77777777" w:rsidR="00062C6C" w:rsidRDefault="00062C6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8"/>
      </w:tblGrid>
      <w:tr w:rsidR="00062C6C" w:rsidRPr="00062C6C" w14:paraId="1BCF79B9" w14:textId="77777777" w:rsidTr="00944CF3">
        <w:tc>
          <w:tcPr>
            <w:tcW w:w="1666" w:type="pct"/>
          </w:tcPr>
          <w:p w14:paraId="5A8BA825" w14:textId="77777777" w:rsidR="00062C6C" w:rsidRPr="00062C6C" w:rsidRDefault="00062C6C" w:rsidP="00062C6C"/>
          <w:p w14:paraId="3ABE7440" w14:textId="77777777" w:rsidR="00062C6C" w:rsidRPr="00062C6C" w:rsidRDefault="00062C6C" w:rsidP="00062C6C">
            <w:pPr>
              <w:rPr>
                <w:b/>
              </w:rPr>
            </w:pPr>
            <w:r w:rsidRPr="00062C6C">
              <w:rPr>
                <w:b/>
              </w:rPr>
              <w:t>TÍTULO III</w:t>
            </w:r>
          </w:p>
          <w:p w14:paraId="377E88CD" w14:textId="77777777" w:rsidR="00062C6C" w:rsidRPr="00062C6C" w:rsidRDefault="00062C6C" w:rsidP="00062C6C">
            <w:pPr>
              <w:rPr>
                <w:b/>
              </w:rPr>
            </w:pPr>
            <w:r w:rsidRPr="00062C6C">
              <w:rPr>
                <w:b/>
              </w:rPr>
              <w:t>DEL PERSONAL Y EL PATRIMONIO</w:t>
            </w:r>
          </w:p>
          <w:p w14:paraId="0C52FA3D" w14:textId="77777777" w:rsidR="00062C6C" w:rsidRPr="00062C6C" w:rsidRDefault="00062C6C" w:rsidP="00062C6C">
            <w:pPr>
              <w:rPr>
                <w:b/>
              </w:rPr>
            </w:pPr>
          </w:p>
          <w:p w14:paraId="6656C0DD" w14:textId="77777777" w:rsidR="00062C6C" w:rsidRPr="00062C6C" w:rsidRDefault="00062C6C" w:rsidP="00062C6C">
            <w:pPr>
              <w:rPr>
                <w:b/>
              </w:rPr>
            </w:pPr>
            <w:r w:rsidRPr="00062C6C">
              <w:rPr>
                <w:b/>
              </w:rPr>
              <w:t>Párrafo 1°</w:t>
            </w:r>
          </w:p>
          <w:p w14:paraId="2931BBCC" w14:textId="77777777" w:rsidR="00062C6C" w:rsidRPr="00062C6C" w:rsidRDefault="00062C6C" w:rsidP="00062C6C">
            <w:pPr>
              <w:rPr>
                <w:b/>
              </w:rPr>
            </w:pPr>
            <w:r w:rsidRPr="00062C6C">
              <w:rPr>
                <w:b/>
              </w:rPr>
              <w:t>Del personal</w:t>
            </w:r>
          </w:p>
          <w:p w14:paraId="73FE4EF5" w14:textId="77777777" w:rsidR="00062C6C" w:rsidRPr="00062C6C" w:rsidRDefault="00062C6C" w:rsidP="00062C6C">
            <w:pPr>
              <w:rPr>
                <w:b/>
              </w:rPr>
            </w:pPr>
          </w:p>
          <w:p w14:paraId="7E2802A3" w14:textId="77777777" w:rsidR="00062C6C" w:rsidRPr="00062C6C" w:rsidRDefault="00062C6C" w:rsidP="00062C6C">
            <w:pPr>
              <w:rPr>
                <w:b/>
              </w:rPr>
            </w:pPr>
            <w:r w:rsidRPr="00062C6C">
              <w:rPr>
                <w:b/>
              </w:rPr>
              <w:t xml:space="preserve">Artículo 33.- Personal. El personal del Servicio estará afecto a las disposiciones del decreto con fuerza de ley </w:t>
            </w:r>
            <w:proofErr w:type="spellStart"/>
            <w:r w:rsidRPr="00062C6C">
              <w:rPr>
                <w:b/>
              </w:rPr>
              <w:t>N°</w:t>
            </w:r>
            <w:proofErr w:type="spellEnd"/>
            <w:r w:rsidRPr="00062C6C">
              <w:rPr>
                <w:b/>
              </w:rPr>
              <w:t xml:space="preserve"> 29, de 2004, del Ministerio de Hacienda, que fija el texto refundido, coordinado y sistematizado de la ley </w:t>
            </w:r>
            <w:proofErr w:type="spellStart"/>
            <w:r w:rsidRPr="00062C6C">
              <w:rPr>
                <w:b/>
              </w:rPr>
              <w:t>Nº</w:t>
            </w:r>
            <w:proofErr w:type="spellEnd"/>
            <w:r w:rsidRPr="00062C6C">
              <w:rPr>
                <w:b/>
              </w:rPr>
              <w:t xml:space="preserve"> 18.834, sobre Estatuto Administrativo, y en materia de remuneraciones, a las normas del decreto ley </w:t>
            </w:r>
            <w:proofErr w:type="spellStart"/>
            <w:r w:rsidRPr="00062C6C">
              <w:rPr>
                <w:b/>
              </w:rPr>
              <w:t>Nº</w:t>
            </w:r>
            <w:proofErr w:type="spellEnd"/>
            <w:r w:rsidRPr="00062C6C">
              <w:rPr>
                <w:b/>
              </w:rPr>
              <w:t xml:space="preserve"> 249, de 1974, y su legislación </w:t>
            </w:r>
            <w:commentRangeStart w:id="11"/>
            <w:r w:rsidRPr="00062C6C">
              <w:rPr>
                <w:b/>
              </w:rPr>
              <w:t>complementaria</w:t>
            </w:r>
            <w:commentRangeEnd w:id="11"/>
            <w:r>
              <w:rPr>
                <w:rStyle w:val="Refdecomentario"/>
              </w:rPr>
              <w:commentReference w:id="11"/>
            </w:r>
            <w:r w:rsidRPr="00062C6C">
              <w:rPr>
                <w:b/>
              </w:rPr>
              <w:t>.</w:t>
            </w:r>
          </w:p>
          <w:p w14:paraId="5FFA2E4F" w14:textId="77777777" w:rsidR="00062C6C" w:rsidRPr="00062C6C" w:rsidRDefault="00062C6C" w:rsidP="00062C6C"/>
        </w:tc>
      </w:tr>
      <w:tr w:rsidR="00062C6C" w:rsidRPr="00062C6C" w14:paraId="6DFFF549" w14:textId="77777777" w:rsidTr="00944CF3">
        <w:tc>
          <w:tcPr>
            <w:tcW w:w="1666" w:type="pct"/>
          </w:tcPr>
          <w:p w14:paraId="017D6CB4" w14:textId="77777777" w:rsidR="00062C6C" w:rsidRPr="00062C6C" w:rsidRDefault="00062C6C" w:rsidP="00062C6C">
            <w:pPr>
              <w:rPr>
                <w:b/>
              </w:rPr>
            </w:pPr>
          </w:p>
          <w:p w14:paraId="43BFD53C" w14:textId="77777777" w:rsidR="00062C6C" w:rsidRPr="00062C6C" w:rsidRDefault="00062C6C" w:rsidP="00062C6C">
            <w:pPr>
              <w:rPr>
                <w:b/>
              </w:rPr>
            </w:pPr>
            <w:r w:rsidRPr="00062C6C">
              <w:rPr>
                <w:b/>
              </w:rPr>
              <w:t xml:space="preserve">Artículo 34.- Formación. El Servicio Nacional de Reinserción Social Juvenil desarrollará políticas, programas y actividades orientadas por un plan estratégico dirigido a la formación y perfeccionamiento permanente de sus funcionarios, con miras a potenciar el desarrollo de sus habilidades y conocimientos para que el cumplimiento de las tareas propias del servicio se desarrolle en términos acordes con las exigencias del principio de </w:t>
            </w:r>
            <w:commentRangeStart w:id="12"/>
            <w:r w:rsidRPr="00062C6C">
              <w:rPr>
                <w:b/>
              </w:rPr>
              <w:t>especialización</w:t>
            </w:r>
            <w:commentRangeEnd w:id="12"/>
            <w:r>
              <w:rPr>
                <w:rStyle w:val="Refdecomentario"/>
              </w:rPr>
              <w:commentReference w:id="12"/>
            </w:r>
            <w:r w:rsidRPr="00062C6C">
              <w:rPr>
                <w:b/>
              </w:rPr>
              <w:t>.</w:t>
            </w:r>
          </w:p>
          <w:p w14:paraId="31644035" w14:textId="77777777" w:rsidR="00062C6C" w:rsidRPr="00062C6C" w:rsidRDefault="00062C6C" w:rsidP="00062C6C">
            <w:pPr>
              <w:rPr>
                <w:b/>
              </w:rPr>
            </w:pPr>
          </w:p>
        </w:tc>
      </w:tr>
      <w:tr w:rsidR="00062C6C" w:rsidRPr="00062C6C" w14:paraId="6CCFF6C5" w14:textId="77777777" w:rsidTr="00944CF3">
        <w:tc>
          <w:tcPr>
            <w:tcW w:w="1666" w:type="pct"/>
          </w:tcPr>
          <w:p w14:paraId="0F71EF07" w14:textId="77777777" w:rsidR="00062C6C" w:rsidRPr="00062C6C" w:rsidRDefault="00062C6C" w:rsidP="00062C6C"/>
          <w:p w14:paraId="20EB9C9D" w14:textId="77777777" w:rsidR="00062C6C" w:rsidRPr="00062C6C" w:rsidRDefault="00062C6C" w:rsidP="00062C6C">
            <w:pPr>
              <w:rPr>
                <w:b/>
              </w:rPr>
            </w:pPr>
            <w:r w:rsidRPr="00062C6C">
              <w:rPr>
                <w:b/>
              </w:rPr>
              <w:t>Párrafo 2°</w:t>
            </w:r>
          </w:p>
          <w:p w14:paraId="09E3E7F0" w14:textId="77777777" w:rsidR="00062C6C" w:rsidRPr="00062C6C" w:rsidRDefault="00062C6C" w:rsidP="00062C6C">
            <w:pPr>
              <w:rPr>
                <w:b/>
              </w:rPr>
            </w:pPr>
            <w:r w:rsidRPr="00062C6C">
              <w:rPr>
                <w:b/>
              </w:rPr>
              <w:t>Del Patrimonio.</w:t>
            </w:r>
          </w:p>
          <w:p w14:paraId="07459ECF" w14:textId="77777777" w:rsidR="00062C6C" w:rsidRPr="00062C6C" w:rsidRDefault="00062C6C" w:rsidP="00062C6C">
            <w:pPr>
              <w:rPr>
                <w:b/>
              </w:rPr>
            </w:pPr>
          </w:p>
          <w:p w14:paraId="14EA1CA8" w14:textId="77777777" w:rsidR="00062C6C" w:rsidRPr="00062C6C" w:rsidRDefault="00062C6C" w:rsidP="00062C6C">
            <w:pPr>
              <w:rPr>
                <w:b/>
              </w:rPr>
            </w:pPr>
            <w:r w:rsidRPr="00062C6C">
              <w:rPr>
                <w:b/>
              </w:rPr>
              <w:t xml:space="preserve">Artículo 35.- Del </w:t>
            </w:r>
            <w:commentRangeStart w:id="13"/>
            <w:r w:rsidRPr="00062C6C">
              <w:rPr>
                <w:b/>
              </w:rPr>
              <w:t>patrimonio</w:t>
            </w:r>
            <w:commentRangeEnd w:id="13"/>
            <w:r>
              <w:rPr>
                <w:rStyle w:val="Refdecomentario"/>
              </w:rPr>
              <w:commentReference w:id="13"/>
            </w:r>
            <w:r w:rsidRPr="00062C6C">
              <w:rPr>
                <w:b/>
              </w:rPr>
              <w:t>. El patrimonio del Servicio estará formado por:</w:t>
            </w:r>
          </w:p>
          <w:p w14:paraId="745A0802" w14:textId="77777777" w:rsidR="00062C6C" w:rsidRPr="00062C6C" w:rsidRDefault="00062C6C" w:rsidP="00062C6C">
            <w:pPr>
              <w:rPr>
                <w:b/>
              </w:rPr>
            </w:pPr>
          </w:p>
          <w:p w14:paraId="3CF230A9" w14:textId="77777777" w:rsidR="00062C6C" w:rsidRPr="00062C6C" w:rsidRDefault="00062C6C" w:rsidP="00062C6C">
            <w:pPr>
              <w:rPr>
                <w:b/>
              </w:rPr>
            </w:pPr>
            <w:r w:rsidRPr="00062C6C">
              <w:rPr>
                <w:b/>
              </w:rPr>
              <w:t>a) Los recursos que se le asignen anualmente en el Presupuesto de la Nación o en otras leyes generales o especiales.</w:t>
            </w:r>
          </w:p>
          <w:p w14:paraId="324187A8" w14:textId="77777777" w:rsidR="00062C6C" w:rsidRPr="00062C6C" w:rsidRDefault="00062C6C" w:rsidP="00062C6C">
            <w:pPr>
              <w:rPr>
                <w:b/>
              </w:rPr>
            </w:pPr>
          </w:p>
          <w:p w14:paraId="16FDFDB8" w14:textId="77777777" w:rsidR="00062C6C" w:rsidRPr="00062C6C" w:rsidRDefault="00062C6C" w:rsidP="00062C6C">
            <w:pPr>
              <w:rPr>
                <w:b/>
              </w:rPr>
            </w:pPr>
            <w:r w:rsidRPr="00062C6C">
              <w:rPr>
                <w:b/>
              </w:rPr>
              <w:t>b) Los bienes muebles e inmuebles, corporales o incorporales, que se le transfieran o adquiera a cualquier título, y los frutos de tales bienes.</w:t>
            </w:r>
          </w:p>
          <w:p w14:paraId="28FB2C79" w14:textId="77777777" w:rsidR="00062C6C" w:rsidRPr="00062C6C" w:rsidRDefault="00062C6C" w:rsidP="00062C6C">
            <w:pPr>
              <w:rPr>
                <w:b/>
              </w:rPr>
            </w:pPr>
          </w:p>
          <w:p w14:paraId="46E5F360" w14:textId="77777777" w:rsidR="00062C6C" w:rsidRPr="00062C6C" w:rsidRDefault="00062C6C" w:rsidP="00062C6C">
            <w:pPr>
              <w:rPr>
                <w:b/>
              </w:rPr>
            </w:pPr>
            <w:r w:rsidRPr="00062C6C">
              <w:rPr>
                <w:b/>
              </w:rPr>
              <w:lastRenderedPageBreak/>
              <w:t>c) Los aportes de la cooperación internacional que reciba para el cumplimiento de sus objetivos, a cualquier título.</w:t>
            </w:r>
          </w:p>
          <w:p w14:paraId="7EB68668" w14:textId="77777777" w:rsidR="00062C6C" w:rsidRPr="00062C6C" w:rsidRDefault="00062C6C" w:rsidP="00062C6C">
            <w:pPr>
              <w:rPr>
                <w:b/>
              </w:rPr>
            </w:pPr>
          </w:p>
          <w:p w14:paraId="3B4F507F" w14:textId="77777777" w:rsidR="00062C6C" w:rsidRPr="00062C6C" w:rsidRDefault="00062C6C" w:rsidP="00062C6C">
            <w:r w:rsidRPr="00062C6C">
              <w:rPr>
                <w:b/>
              </w:rPr>
              <w:t>d) Las donaciones que se le hagan y las herencias y legados que acepten con beneficio de inventario. Dichas donaciones y asignaciones hereditarias estarán exentas de toda clase de impuestos y de todo gravamen o pago que les afecten. Las donaciones no se someterán al trámite de insinuación.</w:t>
            </w:r>
          </w:p>
        </w:tc>
      </w:tr>
      <w:tr w:rsidR="00062C6C" w:rsidRPr="00062C6C" w14:paraId="46FEDCD4" w14:textId="77777777" w:rsidTr="00944CF3">
        <w:tc>
          <w:tcPr>
            <w:tcW w:w="1666" w:type="pct"/>
          </w:tcPr>
          <w:p w14:paraId="013ACD38" w14:textId="77777777" w:rsidR="00062C6C" w:rsidRPr="00062C6C" w:rsidRDefault="00062C6C" w:rsidP="00062C6C"/>
          <w:p w14:paraId="47DF9551" w14:textId="77777777" w:rsidR="00062C6C" w:rsidRPr="00062C6C" w:rsidRDefault="00062C6C" w:rsidP="00062C6C">
            <w:pPr>
              <w:rPr>
                <w:b/>
              </w:rPr>
            </w:pPr>
            <w:r w:rsidRPr="00062C6C">
              <w:rPr>
                <w:b/>
              </w:rPr>
              <w:t xml:space="preserve">Artículo 36.- Continuador </w:t>
            </w:r>
            <w:commentRangeStart w:id="14"/>
            <w:r w:rsidRPr="00062C6C">
              <w:rPr>
                <w:b/>
              </w:rPr>
              <w:t>legal</w:t>
            </w:r>
            <w:commentRangeEnd w:id="14"/>
            <w:r>
              <w:rPr>
                <w:rStyle w:val="Refdecomentario"/>
              </w:rPr>
              <w:commentReference w:id="14"/>
            </w:r>
            <w:r w:rsidRPr="00062C6C">
              <w:rPr>
                <w:b/>
              </w:rPr>
              <w:t>. El Servicio Nacional de Reinserción Social Juvenil se constituirá, para todos los efectos legales, en el ámbito de las funciones y atribuciones que le otorga esta ley, en sucesor y continuador legal del Servicio Nacional de Menores, con todos sus derechos, obligaciones, funciones y atribuciones.</w:t>
            </w:r>
          </w:p>
          <w:p w14:paraId="67701233" w14:textId="77777777" w:rsidR="00062C6C" w:rsidRPr="00062C6C" w:rsidRDefault="00062C6C" w:rsidP="00062C6C">
            <w:pPr>
              <w:rPr>
                <w:b/>
              </w:rPr>
            </w:pPr>
          </w:p>
          <w:p w14:paraId="517728A9" w14:textId="77777777" w:rsidR="00062C6C" w:rsidRPr="00062C6C" w:rsidRDefault="00062C6C" w:rsidP="00062C6C">
            <w:pPr>
              <w:rPr>
                <w:b/>
              </w:rPr>
            </w:pPr>
            <w:r w:rsidRPr="00062C6C">
              <w:rPr>
                <w:b/>
              </w:rPr>
              <w:t xml:space="preserve">De este modo, las funciones, atribuciones y facultades otorgadas por otras leyes al Servicio Nacional de Menores, se entenderán conferidas al Servicio Nacional de Reinserción Social Juvenil, en el ámbito de sus respectivas competencias. </w:t>
            </w:r>
          </w:p>
          <w:p w14:paraId="635FB814" w14:textId="77777777" w:rsidR="00062C6C" w:rsidRPr="00062C6C" w:rsidRDefault="00062C6C" w:rsidP="00062C6C">
            <w:pPr>
              <w:rPr>
                <w:b/>
              </w:rPr>
            </w:pPr>
          </w:p>
          <w:p w14:paraId="6A25CB8D" w14:textId="77777777" w:rsidR="00062C6C" w:rsidRPr="00062C6C" w:rsidRDefault="00062C6C" w:rsidP="00062C6C">
            <w:r w:rsidRPr="00062C6C">
              <w:rPr>
                <w:b/>
              </w:rPr>
              <w:t>De igual forma, las referencias que hagan las leyes, reglamentos y demás normas jurídicas al Servicio Nacional de Menores, respecto de estas materias, se entenderán efectuadas, según el ámbito de sus respectivas competencias, al Servicio Nacional de Reinserción Social Juvenil.</w:t>
            </w:r>
          </w:p>
        </w:tc>
      </w:tr>
      <w:tr w:rsidR="00062C6C" w:rsidRPr="00062C6C" w14:paraId="680B3A67" w14:textId="77777777" w:rsidTr="00944CF3">
        <w:tc>
          <w:tcPr>
            <w:tcW w:w="1666" w:type="pct"/>
          </w:tcPr>
          <w:p w14:paraId="3A6A8D7A" w14:textId="77777777" w:rsidR="00062C6C" w:rsidRPr="00062C6C" w:rsidRDefault="00062C6C" w:rsidP="00062C6C"/>
          <w:p w14:paraId="24C260B5" w14:textId="77777777" w:rsidR="00062C6C" w:rsidRPr="00062C6C" w:rsidRDefault="00062C6C" w:rsidP="00062C6C">
            <w:pPr>
              <w:rPr>
                <w:b/>
              </w:rPr>
            </w:pPr>
            <w:r w:rsidRPr="00062C6C">
              <w:rPr>
                <w:b/>
              </w:rPr>
              <w:t>Artículo 37.- Reglamento. Para la adecuada ejecución de las disposiciones establecidas en esta ley, el Ministerio de Justicia y Derechos Humanos dictará un reglamento en materias orgánicas y funcionales del Servicio, incluidos los registros informáticos que se establecen para su funcionamiento.</w:t>
            </w:r>
          </w:p>
          <w:p w14:paraId="5004BBFF" w14:textId="77777777" w:rsidR="00062C6C" w:rsidRPr="00062C6C" w:rsidRDefault="00062C6C" w:rsidP="00062C6C">
            <w:pPr>
              <w:rPr>
                <w:b/>
              </w:rPr>
            </w:pPr>
          </w:p>
          <w:p w14:paraId="60AD00F9" w14:textId="77777777" w:rsidR="00062C6C" w:rsidRPr="00062C6C" w:rsidRDefault="00062C6C" w:rsidP="00062C6C">
            <w:r w:rsidRPr="00062C6C">
              <w:rPr>
                <w:b/>
              </w:rPr>
              <w:t xml:space="preserve">Por su parte, un reglamento expedido por el Ministerio de Justicia y Derechos Humanos, y además </w:t>
            </w:r>
            <w:proofErr w:type="gramStart"/>
            <w:r w:rsidRPr="00062C6C">
              <w:rPr>
                <w:b/>
              </w:rPr>
              <w:t>suscrito  por</w:t>
            </w:r>
            <w:proofErr w:type="gramEnd"/>
            <w:r w:rsidRPr="00062C6C">
              <w:rPr>
                <w:b/>
              </w:rPr>
              <w:t xml:space="preserve"> el Ministro de Hacienda regulará las materias necesarias para la adecuada ejecución del sistema de acreditación de instituciones y programas, regulados en el párrafo 3°, del Título II de esta ley.</w:t>
            </w:r>
          </w:p>
        </w:tc>
      </w:tr>
    </w:tbl>
    <w:p w14:paraId="11CC7B7B" w14:textId="77777777" w:rsidR="00062C6C" w:rsidRDefault="00062C6C"/>
    <w:sectPr w:rsidR="00062C6C">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Catalina Wildner" w:date="2017-10-13T19:37:00Z" w:initials="CW">
    <w:p w14:paraId="59E05F64" w14:textId="77777777" w:rsidR="00062C6C" w:rsidRDefault="00062C6C">
      <w:pPr>
        <w:pStyle w:val="Textocomentario"/>
      </w:pPr>
      <w:r>
        <w:rPr>
          <w:rStyle w:val="Refdecomentario"/>
        </w:rPr>
        <w:annotationRef/>
      </w:r>
      <w:r w:rsidRPr="00062C6C">
        <w:t xml:space="preserve">Actualmente (revisar) el sistema de administración provisional cuenta con intervención judicial </w:t>
      </w:r>
      <w:proofErr w:type="gramStart"/>
      <w:r w:rsidRPr="00062C6C">
        <w:t>( art</w:t>
      </w:r>
      <w:proofErr w:type="gramEnd"/>
      <w:r w:rsidRPr="00062C6C">
        <w:t xml:space="preserve"> 17 de la ley del servicio</w:t>
      </w:r>
      <w:r>
        <w:t>)</w:t>
      </w:r>
    </w:p>
  </w:comment>
  <w:comment w:id="1" w:author="Catalina Wildner" w:date="2017-10-13T19:38:00Z" w:initials="CW">
    <w:p w14:paraId="0FB85CFE" w14:textId="77777777" w:rsidR="00062C6C" w:rsidRDefault="00062C6C">
      <w:pPr>
        <w:pStyle w:val="Textocomentario"/>
      </w:pPr>
      <w:r>
        <w:rPr>
          <w:rStyle w:val="Refdecomentario"/>
        </w:rPr>
        <w:annotationRef/>
      </w:r>
      <w:r w:rsidRPr="00062C6C">
        <w:t>Revisar cual es la mejor fórmula, si mantener la intervención judicial o dejar la administrativa, tomando en cuenta que existe un recurso de reclamación ante la Corte. El problema con judicializar la administración es la negativa de la Corte en cuanto a otorgar preferencia en resolución de causas.</w:t>
      </w:r>
    </w:p>
  </w:comment>
  <w:comment w:id="2" w:author="Catalina Wildner" w:date="2017-10-13T19:37:00Z" w:initials="CW">
    <w:p w14:paraId="2ED431B3" w14:textId="77777777" w:rsidR="00062C6C" w:rsidRDefault="00062C6C">
      <w:pPr>
        <w:pStyle w:val="Textocomentario"/>
      </w:pPr>
      <w:r>
        <w:rPr>
          <w:rStyle w:val="Refdecomentario"/>
        </w:rPr>
        <w:annotationRef/>
      </w:r>
      <w:r w:rsidRPr="00062C6C">
        <w:t>PENDIENTE: PROPUESTA DEL EJECUTIVO CON PRECISIONES Y MEJORAS EN LAS CAUSALES</w:t>
      </w:r>
    </w:p>
  </w:comment>
  <w:comment w:id="3" w:author="Catalina Wildner" w:date="2017-10-13T19:41:00Z" w:initials="CW">
    <w:p w14:paraId="1D836710" w14:textId="77777777" w:rsidR="00062C6C" w:rsidRDefault="00062C6C">
      <w:pPr>
        <w:pStyle w:val="Textocomentario"/>
      </w:pPr>
      <w:r>
        <w:rPr>
          <w:rStyle w:val="Refdecomentario"/>
        </w:rPr>
        <w:annotationRef/>
      </w:r>
      <w:r w:rsidRPr="00062C6C">
        <w:t>Revisar regulación de estándares de calidad)</w:t>
      </w:r>
    </w:p>
  </w:comment>
  <w:comment w:id="4" w:author="Catalina Wildner" w:date="2017-10-13T19:41:00Z" w:initials="CW">
    <w:p w14:paraId="55158BC8" w14:textId="77777777" w:rsidR="00062C6C" w:rsidRPr="00062C6C" w:rsidRDefault="00062C6C" w:rsidP="00062C6C">
      <w:pPr>
        <w:pStyle w:val="Textocomentario"/>
      </w:pPr>
      <w:r>
        <w:rPr>
          <w:rStyle w:val="Refdecomentario"/>
        </w:rPr>
        <w:annotationRef/>
      </w:r>
      <w:r w:rsidRPr="00062C6C">
        <w:t>CISC: representan control externo, fuera de la institucionalidad. Hoy está a nivel reglamentario y se pretende regular por ley. Buena evaluación.</w:t>
      </w:r>
    </w:p>
    <w:p w14:paraId="36A04F9F" w14:textId="77777777" w:rsidR="00062C6C" w:rsidRDefault="00062C6C">
      <w:pPr>
        <w:pStyle w:val="Textocomentario"/>
      </w:pPr>
    </w:p>
  </w:comment>
  <w:comment w:id="5" w:author="Catalina Wildner" w:date="2017-10-13T19:41:00Z" w:initials="CW">
    <w:p w14:paraId="3F1B6A0B" w14:textId="77777777" w:rsidR="00062C6C" w:rsidRDefault="00062C6C">
      <w:pPr>
        <w:pStyle w:val="Textocomentario"/>
      </w:pPr>
      <w:r>
        <w:rPr>
          <w:rStyle w:val="Refdecomentario"/>
        </w:rPr>
        <w:annotationRef/>
      </w:r>
      <w:r w:rsidRPr="00062C6C">
        <w:t>Supervisión y además inspección (mediante el envío de informe)</w:t>
      </w:r>
    </w:p>
  </w:comment>
  <w:comment w:id="6" w:author="Catalina Wildner" w:date="2017-10-13T19:42:00Z" w:initials="CW">
    <w:p w14:paraId="19BFF553" w14:textId="77777777" w:rsidR="00062C6C" w:rsidRPr="00062C6C" w:rsidRDefault="00062C6C" w:rsidP="00062C6C">
      <w:pPr>
        <w:pStyle w:val="Textocomentario"/>
      </w:pPr>
      <w:r>
        <w:rPr>
          <w:rStyle w:val="Refdecomentario"/>
        </w:rPr>
        <w:annotationRef/>
      </w:r>
      <w:r w:rsidRPr="00062C6C">
        <w:t xml:space="preserve">Que pasa con los incumplimientos que no revistan gravedad suficiente para aplicación de sanciones (posibilidad de rectificación, margen de corrección, </w:t>
      </w:r>
      <w:proofErr w:type="spellStart"/>
      <w:r w:rsidRPr="00062C6C">
        <w:t>etc</w:t>
      </w:r>
      <w:proofErr w:type="spellEnd"/>
      <w:r w:rsidRPr="00062C6C">
        <w:t>) Orgánicamente no está contemplada una instancia de corrección de infracciones “menores”</w:t>
      </w:r>
    </w:p>
    <w:p w14:paraId="74333602" w14:textId="77777777" w:rsidR="00062C6C" w:rsidRDefault="00062C6C">
      <w:pPr>
        <w:pStyle w:val="Textocomentario"/>
      </w:pPr>
    </w:p>
  </w:comment>
  <w:comment w:id="7" w:author="Catalina Wildner" w:date="2017-10-13T19:42:00Z" w:initials="CW">
    <w:p w14:paraId="3CF62311" w14:textId="77777777" w:rsidR="00062C6C" w:rsidRDefault="00062C6C">
      <w:pPr>
        <w:pStyle w:val="Textocomentario"/>
      </w:pPr>
      <w:r>
        <w:rPr>
          <w:rStyle w:val="Refdecomentario"/>
        </w:rPr>
        <w:annotationRef/>
      </w:r>
      <w:r w:rsidRPr="00062C6C">
        <w:t>Criterios de determinación de gravedad de la multa en la ley (REVISAR)</w:t>
      </w:r>
    </w:p>
  </w:comment>
  <w:comment w:id="8" w:author="Catalina Wildner" w:date="2017-10-13T19:53:00Z" w:initials="CW">
    <w:p w14:paraId="3B69B032" w14:textId="21CDE07A" w:rsidR="004D3EB9" w:rsidRDefault="004D3EB9">
      <w:pPr>
        <w:pStyle w:val="Textocomentario"/>
      </w:pPr>
      <w:r>
        <w:rPr>
          <w:rStyle w:val="Refdecomentario"/>
        </w:rPr>
        <w:annotationRef/>
      </w:r>
      <w:r w:rsidRPr="004D3EB9">
        <w:t xml:space="preserve">Actualmente la ley solo permite poner término unilateral al convenio.  </w:t>
      </w:r>
      <w:r w:rsidRPr="004D3EB9">
        <w:t>Establecer un nuevo sistema de sanciones “intermedias” en la ley, hace entonces necesario establecer los criterios generales de determinación de multas en la normativa.</w:t>
      </w:r>
      <w:bookmarkStart w:id="9" w:name="_GoBack"/>
      <w:bookmarkEnd w:id="9"/>
    </w:p>
  </w:comment>
  <w:comment w:id="10" w:author="Catalina Wildner" w:date="2017-10-13T19:43:00Z" w:initials="CW">
    <w:p w14:paraId="49AC299A" w14:textId="77777777" w:rsidR="00062C6C" w:rsidRDefault="00062C6C">
      <w:pPr>
        <w:pStyle w:val="Textocomentario"/>
      </w:pPr>
      <w:r>
        <w:rPr>
          <w:rStyle w:val="Refdecomentario"/>
        </w:rPr>
        <w:annotationRef/>
      </w:r>
      <w:r w:rsidRPr="00062C6C">
        <w:t>Determinación de la perdida de acreditación debe quedar en el Consejo de Estándares y no en el director del Servicio.</w:t>
      </w:r>
    </w:p>
  </w:comment>
  <w:comment w:id="11" w:author="Catalina Wildner" w:date="2017-10-13T19:44:00Z" w:initials="CW">
    <w:p w14:paraId="6CC4DE65" w14:textId="77777777" w:rsidR="00062C6C" w:rsidRDefault="00062C6C">
      <w:pPr>
        <w:pStyle w:val="Textocomentario"/>
      </w:pPr>
      <w:r>
        <w:rPr>
          <w:rStyle w:val="Refdecomentario"/>
        </w:rPr>
        <w:annotationRef/>
      </w:r>
      <w:r w:rsidRPr="00062C6C">
        <w:t xml:space="preserve">Ejecutivo: Radicar la función de formación del personal en el Servicio: </w:t>
      </w:r>
      <w:proofErr w:type="spellStart"/>
      <w:r w:rsidRPr="00062C6C">
        <w:t>Curriculum</w:t>
      </w:r>
      <w:proofErr w:type="spellEnd"/>
      <w:r w:rsidRPr="00062C6C">
        <w:t xml:space="preserve"> base que maneja el Servicio.</w:t>
      </w:r>
    </w:p>
  </w:comment>
  <w:comment w:id="12" w:author="Catalina Wildner" w:date="2017-10-13T19:45:00Z" w:initials="CW">
    <w:p w14:paraId="5794C6A5" w14:textId="77777777" w:rsidR="00062C6C" w:rsidRPr="00062C6C" w:rsidRDefault="00062C6C" w:rsidP="00062C6C">
      <w:pPr>
        <w:pStyle w:val="Textocomentario"/>
      </w:pPr>
      <w:r>
        <w:rPr>
          <w:rStyle w:val="Refdecomentario"/>
        </w:rPr>
        <w:annotationRef/>
      </w:r>
      <w:r w:rsidRPr="00062C6C">
        <w:t xml:space="preserve">Plantilla básica de formación: estudio con educación continua de la UC, ver bajada más concreta de esta nueva facultad de formación del Servicio </w:t>
      </w:r>
      <w:proofErr w:type="gramStart"/>
      <w:r w:rsidRPr="00062C6C">
        <w:t xml:space="preserve">( </w:t>
      </w:r>
      <w:proofErr w:type="spellStart"/>
      <w:r w:rsidRPr="00062C6C">
        <w:t>peridiocidad</w:t>
      </w:r>
      <w:proofErr w:type="spellEnd"/>
      <w:proofErr w:type="gramEnd"/>
      <w:r w:rsidRPr="00062C6C">
        <w:t xml:space="preserve">, duración de cursos, </w:t>
      </w:r>
      <w:proofErr w:type="spellStart"/>
      <w:r w:rsidRPr="00062C6C">
        <w:t>etc</w:t>
      </w:r>
      <w:proofErr w:type="spellEnd"/>
      <w:r w:rsidRPr="00062C6C">
        <w:t xml:space="preserve">) La </w:t>
      </w:r>
      <w:proofErr w:type="spellStart"/>
      <w:r w:rsidRPr="00062C6C">
        <w:t>Uc</w:t>
      </w:r>
      <w:proofErr w:type="spellEnd"/>
      <w:r w:rsidRPr="00062C6C">
        <w:t xml:space="preserve"> propone que cada cargo debería pasar primero por horas pedagógicas, modalidades académicas: todo esto está estructurado por cargo. Está la </w:t>
      </w:r>
      <w:proofErr w:type="gramStart"/>
      <w:r w:rsidRPr="00062C6C">
        <w:t>planificación  general</w:t>
      </w:r>
      <w:proofErr w:type="gramEnd"/>
      <w:r w:rsidRPr="00062C6C">
        <w:t>: PENDIENTE ENVÍO DE PLANILLA Y ESTUDIO POR PARTE DEL EJECUTIVO.</w:t>
      </w:r>
    </w:p>
    <w:p w14:paraId="01958ED2" w14:textId="77777777" w:rsidR="00062C6C" w:rsidRDefault="00062C6C">
      <w:pPr>
        <w:pStyle w:val="Textocomentario"/>
      </w:pPr>
    </w:p>
  </w:comment>
  <w:comment w:id="13" w:author="Catalina Wildner" w:date="2017-10-13T19:45:00Z" w:initials="CW">
    <w:p w14:paraId="6194D0D3" w14:textId="77777777" w:rsidR="00062C6C" w:rsidRDefault="00062C6C">
      <w:pPr>
        <w:pStyle w:val="Textocomentario"/>
      </w:pPr>
      <w:r>
        <w:rPr>
          <w:rStyle w:val="Refdecomentario"/>
        </w:rPr>
        <w:annotationRef/>
      </w:r>
      <w:r>
        <w:t xml:space="preserve">Evaluar factibilidad de que las multas ingresen al patrimonio del Servicio (ver </w:t>
      </w:r>
      <w:proofErr w:type="spellStart"/>
      <w:r>
        <w:t>que</w:t>
      </w:r>
      <w:proofErr w:type="spellEnd"/>
      <w:r>
        <w:t xml:space="preserve"> pasa en SERNAC)</w:t>
      </w:r>
    </w:p>
  </w:comment>
  <w:comment w:id="14" w:author="Catalina Wildner" w:date="2017-10-13T19:46:00Z" w:initials="CW">
    <w:p w14:paraId="251C13E2" w14:textId="77777777" w:rsidR="00062C6C" w:rsidRDefault="00062C6C">
      <w:pPr>
        <w:pStyle w:val="Textocomentario"/>
      </w:pPr>
      <w:r>
        <w:rPr>
          <w:rStyle w:val="Refdecomentario"/>
        </w:rPr>
        <w:annotationRef/>
      </w:r>
      <w:r w:rsidRPr="00062C6C">
        <w:t>Punto: Funciones que causen dudas si son del ámbito de la protección o de reinserción de menores: ejecutivo revisará nuevamente si existen, a fin de decidir si sería mejor enumerar, para despejar eventuales dudas de competencia entre organismos.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9E05F64" w15:done="0"/>
  <w15:commentEx w15:paraId="0FB85CFE" w15:done="0"/>
  <w15:commentEx w15:paraId="2ED431B3" w15:done="0"/>
  <w15:commentEx w15:paraId="1D836710" w15:done="0"/>
  <w15:commentEx w15:paraId="36A04F9F" w15:done="0"/>
  <w15:commentEx w15:paraId="3F1B6A0B" w15:done="0"/>
  <w15:commentEx w15:paraId="74333602" w15:done="0"/>
  <w15:commentEx w15:paraId="3CF62311" w15:done="0"/>
  <w15:commentEx w15:paraId="3B69B032" w15:done="0"/>
  <w15:commentEx w15:paraId="49AC299A" w15:done="0"/>
  <w15:commentEx w15:paraId="6CC4DE65" w15:done="0"/>
  <w15:commentEx w15:paraId="01958ED2" w15:done="0"/>
  <w15:commentEx w15:paraId="6194D0D3" w15:done="0"/>
  <w15:commentEx w15:paraId="251C13E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E05F64" w16cid:durableId="1D8B9474"/>
  <w16cid:commentId w16cid:paraId="0FB85CFE" w16cid:durableId="1D8B94C1"/>
  <w16cid:commentId w16cid:paraId="1D836710" w16cid:durableId="1D8B954D"/>
  <w16cid:commentId w16cid:paraId="36A04F9F" w16cid:durableId="1D8B9567"/>
  <w16cid:commentId w16cid:paraId="3F1B6A0B" w16cid:durableId="1D8B9583"/>
  <w16cid:commentId w16cid:paraId="74333602" w16cid:durableId="1D8B959E"/>
  <w16cid:commentId w16cid:paraId="3CF62311" w16cid:durableId="1D8B95B7"/>
  <w16cid:commentId w16cid:paraId="3B69B032" w16cid:durableId="1D8B9829"/>
  <w16cid:commentId w16cid:paraId="49AC299A" w16cid:durableId="1D8B95D0"/>
  <w16cid:commentId w16cid:paraId="6CC4DE65" w16cid:durableId="1D8B9624"/>
  <w16cid:commentId w16cid:paraId="01958ED2" w16cid:durableId="1D8B963F"/>
  <w16cid:commentId w16cid:paraId="6194D0D3" w16cid:durableId="1D8B9656"/>
  <w16cid:commentId w16cid:paraId="251C13E2" w16cid:durableId="1D8B968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talina Wildner">
    <w15:presenceInfo w15:providerId="Windows Live" w15:userId="e03c4548cf49c56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C6C"/>
    <w:rsid w:val="00062C6C"/>
    <w:rsid w:val="004D3EB9"/>
    <w:rsid w:val="00815DB8"/>
    <w:rsid w:val="0098261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4:docId w14:val="56064648"/>
  <w15:chartTrackingRefBased/>
  <w15:docId w15:val="{62D25657-1F8C-40E4-B19E-5180832E3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2C6C"/>
    <w:pPr>
      <w:tabs>
        <w:tab w:val="left" w:pos="2835"/>
      </w:tabs>
      <w:spacing w:after="0" w:line="240" w:lineRule="auto"/>
      <w:jc w:val="both"/>
    </w:pPr>
    <w:rPr>
      <w:rFonts w:ascii="Arial" w:eastAsia="Times New Roman" w:hAnsi="Arial" w:cs="Times New Roman"/>
      <w:szCs w:val="20"/>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semiHidden/>
    <w:unhideWhenUsed/>
    <w:rsid w:val="00062C6C"/>
    <w:rPr>
      <w:sz w:val="16"/>
      <w:szCs w:val="16"/>
    </w:rPr>
  </w:style>
  <w:style w:type="paragraph" w:styleId="Textocomentario">
    <w:name w:val="annotation text"/>
    <w:basedOn w:val="Normal"/>
    <w:link w:val="TextocomentarioCar"/>
    <w:semiHidden/>
    <w:unhideWhenUsed/>
    <w:rsid w:val="00062C6C"/>
    <w:rPr>
      <w:sz w:val="20"/>
    </w:rPr>
  </w:style>
  <w:style w:type="character" w:customStyle="1" w:styleId="TextocomentarioCar">
    <w:name w:val="Texto comentario Car"/>
    <w:basedOn w:val="Fuentedeprrafopredeter"/>
    <w:link w:val="Textocomentario"/>
    <w:semiHidden/>
    <w:rsid w:val="00062C6C"/>
    <w:rPr>
      <w:rFonts w:ascii="Arial" w:eastAsia="Times New Roman" w:hAnsi="Arial" w:cs="Times New Roman"/>
      <w:sz w:val="20"/>
      <w:szCs w:val="20"/>
      <w:lang w:val="es-ES" w:eastAsia="es-ES"/>
    </w:rPr>
  </w:style>
  <w:style w:type="paragraph" w:styleId="Textodeglobo">
    <w:name w:val="Balloon Text"/>
    <w:basedOn w:val="Normal"/>
    <w:link w:val="TextodegloboCar"/>
    <w:uiPriority w:val="99"/>
    <w:semiHidden/>
    <w:unhideWhenUsed/>
    <w:rsid w:val="00062C6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62C6C"/>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062C6C"/>
    <w:rPr>
      <w:b/>
      <w:bCs/>
    </w:rPr>
  </w:style>
  <w:style w:type="character" w:customStyle="1" w:styleId="AsuntodelcomentarioCar">
    <w:name w:val="Asunto del comentario Car"/>
    <w:basedOn w:val="TextocomentarioCar"/>
    <w:link w:val="Asuntodelcomentario"/>
    <w:uiPriority w:val="99"/>
    <w:semiHidden/>
    <w:rsid w:val="00062C6C"/>
    <w:rPr>
      <w:rFonts w:ascii="Arial" w:eastAsia="Times New Roman" w:hAnsi="Arial"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88814-20C8-4FEA-BC57-F7BB60AD2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1396</Words>
  <Characters>7682</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Wildner</dc:creator>
  <cp:keywords/>
  <dc:description/>
  <cp:lastModifiedBy>Catalina Wildner</cp:lastModifiedBy>
  <cp:revision>2</cp:revision>
  <dcterms:created xsi:type="dcterms:W3CDTF">2017-10-13T22:36:00Z</dcterms:created>
  <dcterms:modified xsi:type="dcterms:W3CDTF">2017-10-13T22:53:00Z</dcterms:modified>
</cp:coreProperties>
</file>