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5A280" w14:textId="77777777" w:rsidR="009C4E5A" w:rsidRPr="009C4E5A" w:rsidRDefault="009C4E5A" w:rsidP="009C4E5A">
      <w:pPr>
        <w:pStyle w:val="Ttulo"/>
        <w:rPr>
          <w:b/>
          <w:sz w:val="56"/>
          <w:szCs w:val="56"/>
        </w:rPr>
      </w:pPr>
      <w:r w:rsidRPr="009C4E5A">
        <w:rPr>
          <w:b/>
          <w:sz w:val="56"/>
          <w:szCs w:val="56"/>
        </w:rPr>
        <w:t>Anális</w:t>
      </w:r>
      <w:bookmarkStart w:id="0" w:name="_GoBack"/>
      <w:bookmarkEnd w:id="0"/>
      <w:r w:rsidRPr="009C4E5A">
        <w:rPr>
          <w:b/>
          <w:sz w:val="56"/>
          <w:szCs w:val="56"/>
        </w:rPr>
        <w:t xml:space="preserve">is de coyuntura </w:t>
      </w:r>
    </w:p>
    <w:p w14:paraId="21D7EDF4" w14:textId="610D3E31" w:rsidR="0054286D" w:rsidRDefault="00CE5277" w:rsidP="009C4E5A">
      <w:pPr>
        <w:pStyle w:val="Ttulo"/>
        <w:rPr>
          <w:b/>
          <w:sz w:val="28"/>
          <w:szCs w:val="28"/>
        </w:rPr>
      </w:pPr>
      <w:r>
        <w:rPr>
          <w:b/>
          <w:sz w:val="28"/>
          <w:szCs w:val="28"/>
        </w:rPr>
        <w:t>15 de Octubre</w:t>
      </w:r>
      <w:r w:rsidR="009C4E5A" w:rsidRPr="009C4E5A">
        <w:rPr>
          <w:b/>
          <w:sz w:val="28"/>
          <w:szCs w:val="28"/>
        </w:rPr>
        <w:t xml:space="preserve"> 2017</w:t>
      </w:r>
    </w:p>
    <w:p w14:paraId="73D0813B" w14:textId="77777777" w:rsidR="009C4E5A" w:rsidRDefault="009C4E5A" w:rsidP="00386477">
      <w:pPr>
        <w:jc w:val="both"/>
        <w:rPr>
          <w:b/>
        </w:rPr>
      </w:pPr>
      <w:r w:rsidRPr="009C4E5A">
        <w:rPr>
          <w:b/>
        </w:rPr>
        <w:t>Piñera busca profundizar la brecha de la primera vuelta</w:t>
      </w:r>
      <w:r>
        <w:rPr>
          <w:b/>
        </w:rPr>
        <w:t xml:space="preserve"> con estrategia del voto útil.</w:t>
      </w:r>
    </w:p>
    <w:p w14:paraId="20FA9B3D" w14:textId="77777777" w:rsidR="00386477" w:rsidRDefault="00386477" w:rsidP="00386477">
      <w:pPr>
        <w:jc w:val="both"/>
      </w:pPr>
    </w:p>
    <w:p w14:paraId="15061F08" w14:textId="1F4B80FD" w:rsidR="004D2DE1" w:rsidRDefault="00386477" w:rsidP="00386477">
      <w:pPr>
        <w:jc w:val="both"/>
      </w:pPr>
      <w:r>
        <w:t>Piñera ha tenido que fren</w:t>
      </w:r>
      <w:r w:rsidR="00DB5CBD">
        <w:t xml:space="preserve">ar el entusiasmo  en su sector </w:t>
      </w:r>
      <w:r>
        <w:t xml:space="preserve">por las posibilidades de ganar en primera vuelta. Es la segunda vez en el curso de la campaña, que a la luz de resultados de las encuestas, tienen que poner paños frios : la primera vez, fue alimentada por Piñera </w:t>
      </w:r>
      <w:r w:rsidR="00DB5CBD">
        <w:t xml:space="preserve">, </w:t>
      </w:r>
      <w:r>
        <w:t>al señalar en una reunión en el Congreso con parlamentarios de Chile Vamos que tenia encuestas que le permitian proyectar una posibilidad de triunfo en</w:t>
      </w:r>
      <w:r w:rsidR="000F74F9">
        <w:t xml:space="preserve"> Noviembre y ahora por resultados de la Cadem del 6 de Octubre</w:t>
      </w:r>
      <w:r>
        <w:t>.</w:t>
      </w:r>
      <w:r w:rsidR="00DB5CBD">
        <w:t xml:space="preserve"> E</w:t>
      </w:r>
      <w:r w:rsidR="004D2DE1">
        <w:t>lementos claves</w:t>
      </w:r>
      <w:r w:rsidR="00DB5CBD">
        <w:t xml:space="preserve"> de la </w:t>
      </w:r>
      <w:r w:rsidR="004D2DE1">
        <w:t xml:space="preserve"> estrategia de Piñera en esta etapa de la campaña son : controlar el triunfalismso y mantener la tensiòn movilizadora del sector, acotar el apoyo a Kast con la estrategia del voto util y apuntar a una brecha electoral profunda en la primera vuelta para asegurar su triunfo.</w:t>
      </w:r>
    </w:p>
    <w:p w14:paraId="5C162448" w14:textId="77777777" w:rsidR="004D2DE1" w:rsidRDefault="004D2DE1" w:rsidP="00386477">
      <w:pPr>
        <w:jc w:val="both"/>
      </w:pPr>
    </w:p>
    <w:p w14:paraId="0408B13A" w14:textId="2EA02481" w:rsidR="00DB5CBD" w:rsidRDefault="00E676C1" w:rsidP="00386477">
      <w:pPr>
        <w:jc w:val="both"/>
      </w:pPr>
      <w:r>
        <w:t>Piñera, debió</w:t>
      </w:r>
      <w:r w:rsidR="004D2DE1">
        <w:t xml:space="preserve"> salir</w:t>
      </w:r>
      <w:r>
        <w:t xml:space="preserve"> controlar</w:t>
      </w:r>
      <w:r w:rsidR="00320563">
        <w:t xml:space="preserve"> el triunfalismo</w:t>
      </w:r>
      <w:r w:rsidR="004D2DE1">
        <w:t>,</w:t>
      </w:r>
      <w:r w:rsidR="00320563">
        <w:t xml:space="preserve"> señalando que</w:t>
      </w:r>
      <w:r>
        <w:t xml:space="preserve"> “</w:t>
      </w:r>
      <w:r w:rsidR="00320563">
        <w:t>..</w:t>
      </w:r>
      <w:r>
        <w:t xml:space="preserve"> </w:t>
      </w:r>
      <w:r>
        <w:rPr>
          <w:i/>
        </w:rPr>
        <w:t>esta elecciòn no está ganada..nosotros no vamos a caer en ninguna soberbia , en ningun triunfalismo”</w:t>
      </w:r>
      <w:r w:rsidR="00320563">
        <w:rPr>
          <w:i/>
        </w:rPr>
        <w:t xml:space="preserve">. </w:t>
      </w:r>
      <w:r w:rsidR="00320563">
        <w:t>Este discurso tensionador de la elecciòn presidencial es el unico que puede movilizar a su sector para un tri</w:t>
      </w:r>
      <w:r w:rsidR="00740B47">
        <w:t>unfo; el discurso de la “elección ganada”  genera desmovilizació</w:t>
      </w:r>
      <w:r w:rsidR="00320563">
        <w:t>n.</w:t>
      </w:r>
      <w:r w:rsidR="00740B47">
        <w:t xml:space="preserve"> </w:t>
      </w:r>
    </w:p>
    <w:p w14:paraId="40FD5387" w14:textId="77777777" w:rsidR="00DB5CBD" w:rsidRDefault="00DB5CBD" w:rsidP="00386477">
      <w:pPr>
        <w:jc w:val="both"/>
      </w:pPr>
    </w:p>
    <w:p w14:paraId="6AEA4682" w14:textId="6DF97BAE" w:rsidR="009236B7" w:rsidRDefault="00320563" w:rsidP="009236B7">
      <w:pPr>
        <w:widowControl w:val="0"/>
        <w:autoSpaceDE w:val="0"/>
        <w:autoSpaceDN w:val="0"/>
        <w:adjustRightInd w:val="0"/>
        <w:jc w:val="both"/>
      </w:pPr>
      <w:r>
        <w:t xml:space="preserve">Sobre esta base, se asienta la </w:t>
      </w:r>
      <w:r w:rsidR="004D2DE1">
        <w:t xml:space="preserve">otra </w:t>
      </w:r>
      <w:r>
        <w:t xml:space="preserve">directriz estratégica </w:t>
      </w:r>
      <w:r w:rsidR="00DB5CBD">
        <w:t xml:space="preserve">, de apuntar al 5% del voto que apoya a </w:t>
      </w:r>
      <w:r>
        <w:t>Kast</w:t>
      </w:r>
      <w:r w:rsidR="00740B47">
        <w:t xml:space="preserve">, para asegurar la </w:t>
      </w:r>
      <w:r>
        <w:t xml:space="preserve"> brecha del </w:t>
      </w:r>
      <w:r w:rsidR="00740B47">
        <w:t>15% de diferencia con Guillier. C</w:t>
      </w:r>
      <w:r>
        <w:t xml:space="preserve">omo señala el mismo Piñera ,” </w:t>
      </w:r>
      <w:r>
        <w:rPr>
          <w:i/>
        </w:rPr>
        <w:t>la diferencia que tengamos entre el que salga primero y el que salg</w:t>
      </w:r>
      <w:r w:rsidR="004D2DE1">
        <w:rPr>
          <w:i/>
        </w:rPr>
        <w:t>a se</w:t>
      </w:r>
      <w:r w:rsidR="00740B47">
        <w:rPr>
          <w:i/>
        </w:rPr>
        <w:t>gundo en primera vuelta, vá a s</w:t>
      </w:r>
      <w:r w:rsidR="004D2DE1">
        <w:rPr>
          <w:i/>
        </w:rPr>
        <w:t>er decisiva para asegurarnos el triunfo en la segunda vuelta “.</w:t>
      </w:r>
      <w:r w:rsidR="00740B47">
        <w:t xml:space="preserve">La estrategia del voto útil debutó </w:t>
      </w:r>
      <w:r>
        <w:t>hace un mes y medio con Espina y Chadwick;</w:t>
      </w:r>
      <w:r w:rsidR="00740B47">
        <w:t xml:space="preserve"> a medida que se a acerca la votación de Nobiembre, la operación voto util se irá intensificando :Piñera entró en la contienda del 5% apelando directamente al votante de Derecha</w:t>
      </w:r>
      <w:r>
        <w:t>:”</w:t>
      </w:r>
      <w:r>
        <w:rPr>
          <w:i/>
        </w:rPr>
        <w:t>esta elecciòn requiere un voto reflexivo, un voto maduro..”</w:t>
      </w:r>
      <w:r w:rsidR="009236B7">
        <w:t>advirtiendo que “..lo</w:t>
      </w:r>
      <w:r w:rsidR="009236B7" w:rsidRPr="009236B7">
        <w:rPr>
          <w:i/>
        </w:rPr>
        <w:t>s que creen que representan, o son portavoces de la familia militar están apropiándose de algo que no les pertenece”.</w:t>
      </w:r>
    </w:p>
    <w:p w14:paraId="695DB79F" w14:textId="77777777" w:rsidR="009236B7" w:rsidRDefault="009236B7" w:rsidP="009236B7">
      <w:pPr>
        <w:widowControl w:val="0"/>
        <w:autoSpaceDE w:val="0"/>
        <w:autoSpaceDN w:val="0"/>
        <w:adjustRightInd w:val="0"/>
      </w:pPr>
    </w:p>
    <w:p w14:paraId="1C52FF88" w14:textId="1291F11A" w:rsidR="00E92A19" w:rsidRPr="009236B7" w:rsidRDefault="00DB5CBD" w:rsidP="00386477">
      <w:pPr>
        <w:jc w:val="both"/>
      </w:pPr>
      <w:r>
        <w:t>Kast ha estado</w:t>
      </w:r>
      <w:r w:rsidR="00192E49">
        <w:t xml:space="preserve"> desarrollando una audaz</w:t>
      </w:r>
      <w:r>
        <w:t xml:space="preserve"> y efectiva</w:t>
      </w:r>
      <w:r w:rsidR="00192E49">
        <w:t xml:space="preserve"> “ </w:t>
      </w:r>
      <w:r w:rsidR="00192E49">
        <w:rPr>
          <w:i/>
        </w:rPr>
        <w:t xml:space="preserve">campaña provocativa de derecha dura “ </w:t>
      </w:r>
      <w:r w:rsidR="00192E49">
        <w:t xml:space="preserve">que lo instala en la opinión pública : asiste a la Moneda el 11 de Septiembre, </w:t>
      </w:r>
      <w:r>
        <w:t>llamado a armarse y matar delincuentes por la población</w:t>
      </w:r>
      <w:r w:rsidR="00192E49">
        <w:t>, cuestiona a la CUT para negociar el reajuste.</w:t>
      </w:r>
      <w:r>
        <w:t xml:space="preserve"> Y va a seguir profundizando esa linea en el mes final de la eleccion. </w:t>
      </w:r>
      <w:r w:rsidR="00192E49">
        <w:t>L</w:t>
      </w:r>
      <w:r w:rsidR="00E92A19">
        <w:t xml:space="preserve">a disputa con Kast para asegurar la victoria, ha mantenido a </w:t>
      </w:r>
      <w:r w:rsidR="00740B47">
        <w:t>Piñera</w:t>
      </w:r>
      <w:r w:rsidR="00E92A19">
        <w:t xml:space="preserve"> en posiciones y discurso de derecha, limitando su desplazamiento al centro. </w:t>
      </w:r>
      <w:r>
        <w:t xml:space="preserve">Así lo ha venido haciendo en </w:t>
      </w:r>
      <w:r w:rsidR="00E92A19">
        <w:t>materia de derechos humanos</w:t>
      </w:r>
      <w:r>
        <w:t xml:space="preserve">, relavitizando su discurso de los “ complices pasivos” para tender puentes </w:t>
      </w:r>
      <w:r w:rsidR="00E92A19">
        <w:t xml:space="preserve">al “ voto militar “. Y en materia del combate a la delincuencia, </w:t>
      </w:r>
      <w:r>
        <w:t>Piñera se metió en la cancha de Kast con un mensaje equivocado,</w:t>
      </w:r>
      <w:r w:rsidRPr="00DB5CBD">
        <w:t xml:space="preserve"> </w:t>
      </w:r>
      <w:r>
        <w:t xml:space="preserve">“.. </w:t>
      </w:r>
      <w:r>
        <w:rPr>
          <w:i/>
        </w:rPr>
        <w:t xml:space="preserve">si un delincuente mata a mi hija, saco un martillo y se lo quebro en la cabeza “ </w:t>
      </w:r>
      <w:r w:rsidR="00E92A19">
        <w:t xml:space="preserve">para </w:t>
      </w:r>
      <w:r>
        <w:t xml:space="preserve">tratar </w:t>
      </w:r>
      <w:r>
        <w:lastRenderedPageBreak/>
        <w:t xml:space="preserve">de </w:t>
      </w:r>
      <w:r w:rsidR="00E92A19">
        <w:t xml:space="preserve">contrarrestar la potente frase de Kast </w:t>
      </w:r>
      <w:r>
        <w:t xml:space="preserve">, </w:t>
      </w:r>
      <w:r w:rsidR="00E92A19">
        <w:t>que</w:t>
      </w:r>
      <w:r>
        <w:t xml:space="preserve"> sin duda</w:t>
      </w:r>
      <w:r w:rsidR="00E92A19">
        <w:t xml:space="preserve"> llega al electorado duro de derecha </w:t>
      </w:r>
      <w:r>
        <w:t xml:space="preserve"> de</w:t>
      </w:r>
      <w:r w:rsidR="00E92A19">
        <w:t>“</w:t>
      </w:r>
      <w:r>
        <w:t>..</w:t>
      </w:r>
      <w:r w:rsidR="00E92A19">
        <w:t xml:space="preserve"> </w:t>
      </w:r>
      <w:r>
        <w:rPr>
          <w:i/>
        </w:rPr>
        <w:t>n</w:t>
      </w:r>
      <w:r w:rsidR="00E92A19" w:rsidRPr="00E92A19">
        <w:rPr>
          <w:i/>
        </w:rPr>
        <w:t>o se metan conmigo ni mi familia.Si entran a mi casa , yo voy a disparar</w:t>
      </w:r>
      <w:r>
        <w:t xml:space="preserve">”: </w:t>
      </w:r>
    </w:p>
    <w:p w14:paraId="4E04D4EE" w14:textId="77777777" w:rsidR="00192E49" w:rsidRDefault="00192E49" w:rsidP="00386477">
      <w:pPr>
        <w:jc w:val="both"/>
      </w:pPr>
    </w:p>
    <w:p w14:paraId="007CE60D" w14:textId="7DD65798" w:rsidR="00386477" w:rsidRPr="00E92A19" w:rsidRDefault="00E92A19" w:rsidP="00386477">
      <w:pPr>
        <w:jc w:val="both"/>
      </w:pPr>
      <w:r>
        <w:t>La disputa del voto de derecha dura de Piñera tiene el costo de rigidizar su posicion electoral</w:t>
      </w:r>
      <w:r w:rsidR="00CE5277">
        <w:t xml:space="preserve"> anclado en la derecha</w:t>
      </w:r>
      <w:r>
        <w:t xml:space="preserve"> y endurecer su discurso político, en un escenario en que hay que </w:t>
      </w:r>
      <w:r w:rsidR="00CE5277">
        <w:t xml:space="preserve">entrar a </w:t>
      </w:r>
      <w:r>
        <w:t xml:space="preserve">disputar el  voto indeciso del 10%. </w:t>
      </w:r>
      <w:r w:rsidR="00CE5277">
        <w:t xml:space="preserve">La perspectiva de éxito </w:t>
      </w:r>
      <w:r w:rsidR="00DB5CBD">
        <w:t>de la estrategia del voto ú</w:t>
      </w:r>
      <w:r>
        <w:t>til</w:t>
      </w:r>
      <w:r w:rsidR="00CE5277">
        <w:t xml:space="preserve"> de Piñera y ChileVamos </w:t>
      </w:r>
      <w:r w:rsidR="00DB5CBD">
        <w:t xml:space="preserve">para erosionar el apoyo a Kast </w:t>
      </w:r>
      <w:r w:rsidR="00CE5277">
        <w:t xml:space="preserve">es incierta y con flancos débiles : en primer lugar, </w:t>
      </w:r>
      <w:r>
        <w:t>el votante de Kast es u</w:t>
      </w:r>
      <w:r w:rsidR="00CE5277">
        <w:t>n votante de derecha informado de</w:t>
      </w:r>
      <w:r>
        <w:t xml:space="preserve"> posiciones duras, </w:t>
      </w:r>
      <w:r w:rsidR="00CE5277">
        <w:t>de difer</w:t>
      </w:r>
      <w:r w:rsidR="00770063">
        <w:t>entes vertientes ( pinochetismo</w:t>
      </w:r>
      <w:r w:rsidR="00CE5277">
        <w:t>, derecha populista resentida con sus lideres, base UDI</w:t>
      </w:r>
      <w:r w:rsidR="00DB5CBD">
        <w:t xml:space="preserve"> </w:t>
      </w:r>
      <w:r w:rsidR="00CE5277">
        <w:t>)</w:t>
      </w:r>
      <w:r w:rsidR="00770063">
        <w:t xml:space="preserve"> </w:t>
      </w:r>
      <w:r>
        <w:t>que busca</w:t>
      </w:r>
      <w:r w:rsidR="00770063">
        <w:t xml:space="preserve">n </w:t>
      </w:r>
      <w:r>
        <w:t xml:space="preserve"> marcar un voto para presionar </w:t>
      </w:r>
      <w:r w:rsidR="00770063">
        <w:t xml:space="preserve">a Piñera </w:t>
      </w:r>
      <w:r>
        <w:t>y forzar concesione</w:t>
      </w:r>
      <w:r w:rsidR="00770063">
        <w:t xml:space="preserve">s  en la segunda vuelta;y en segundo lugar, </w:t>
      </w:r>
      <w:r w:rsidR="00DB5CBD">
        <w:t>es un electorado que sabe que</w:t>
      </w:r>
      <w:r w:rsidR="00770063">
        <w:t xml:space="preserve"> el escenario decisivo</w:t>
      </w:r>
      <w:r w:rsidR="00DB5CBD">
        <w:t xml:space="preserve"> para alinearse</w:t>
      </w:r>
      <w:r w:rsidR="00770063">
        <w:t xml:space="preserve"> es la segunda vuelta. Por lo mismo el 5% de Kast  tiene perspectivas de mantenerse en la primera vuelta para negociar el apoyo en la segunda vuelta. Es una de las razones de la derechización de Piñera en esta campaña.</w:t>
      </w:r>
    </w:p>
    <w:p w14:paraId="52922AAF" w14:textId="77777777" w:rsidR="009C4E5A" w:rsidRDefault="009C4E5A" w:rsidP="00386477">
      <w:pPr>
        <w:jc w:val="both"/>
        <w:rPr>
          <w:b/>
        </w:rPr>
      </w:pPr>
    </w:p>
    <w:p w14:paraId="4C7C4AA0" w14:textId="7B4B315D" w:rsidR="009C4E5A" w:rsidRDefault="009C4E5A" w:rsidP="00386477">
      <w:pPr>
        <w:jc w:val="both"/>
        <w:rPr>
          <w:b/>
        </w:rPr>
      </w:pPr>
      <w:r>
        <w:rPr>
          <w:b/>
        </w:rPr>
        <w:t>La operación segunda vuelta de Guillier para tener opción competitiva</w:t>
      </w:r>
      <w:r w:rsidR="000C12F4">
        <w:rPr>
          <w:b/>
        </w:rPr>
        <w:t>.</w:t>
      </w:r>
    </w:p>
    <w:p w14:paraId="57EB5C92" w14:textId="77777777" w:rsidR="000C12F4" w:rsidRDefault="000C12F4" w:rsidP="00386477">
      <w:pPr>
        <w:jc w:val="both"/>
        <w:rPr>
          <w:b/>
        </w:rPr>
      </w:pPr>
    </w:p>
    <w:p w14:paraId="0EB1C54F" w14:textId="24DB66ED" w:rsidR="000C12F4" w:rsidRDefault="000C12F4" w:rsidP="00386477">
      <w:pPr>
        <w:jc w:val="both"/>
      </w:pPr>
      <w:r>
        <w:t xml:space="preserve">Guillier se instala como el candidato mas probable que pase a segunda vuelta con Piñera. En las ultimas semanas ha consolidado su posiciòn del </w:t>
      </w:r>
      <w:r>
        <w:rPr>
          <w:b/>
          <w:i/>
        </w:rPr>
        <w:t>second best,</w:t>
      </w:r>
      <w:r>
        <w:t xml:space="preserve"> despegándose de Beatriz Sánchez y afirmando su protagonismo en la campaña en confrontación con Piñera.</w:t>
      </w:r>
      <w:r w:rsidR="00396515">
        <w:t xml:space="preserve"> Sin embargo Guillier, si bien tiene un </w:t>
      </w:r>
      <w:r w:rsidR="000F74F9">
        <w:t xml:space="preserve">pequeño </w:t>
      </w:r>
      <w:r w:rsidR="00396515">
        <w:t>repunte tendencial desde mediados d</w:t>
      </w:r>
      <w:r w:rsidR="000F74F9">
        <w:t>e Septiembre, está estabilizado en torno a un 20% sin</w:t>
      </w:r>
      <w:r w:rsidR="00770063">
        <w:t xml:space="preserve"> potenciar </w:t>
      </w:r>
      <w:r w:rsidR="00396515">
        <w:t>un mayor crecimiento</w:t>
      </w:r>
      <w:r w:rsidR="000F74F9">
        <w:t xml:space="preserve"> y </w:t>
      </w:r>
      <w:r w:rsidR="00770063">
        <w:t xml:space="preserve"> acortar la </w:t>
      </w:r>
      <w:r w:rsidR="00396515">
        <w:t>brecha</w:t>
      </w:r>
      <w:r w:rsidR="00770063">
        <w:t xml:space="preserve">  </w:t>
      </w:r>
      <w:r w:rsidR="000F74F9">
        <w:t>con Piñera entre 20 a 23</w:t>
      </w:r>
      <w:r w:rsidR="00396515">
        <w:t>%</w:t>
      </w:r>
      <w:r w:rsidR="000F74F9">
        <w:t>.</w:t>
      </w:r>
    </w:p>
    <w:p w14:paraId="5FBE8B44" w14:textId="77777777" w:rsidR="00396515" w:rsidRDefault="00396515" w:rsidP="00386477">
      <w:pPr>
        <w:jc w:val="both"/>
      </w:pPr>
    </w:p>
    <w:p w14:paraId="2BF18E90" w14:textId="5B27E0AF" w:rsidR="00396515" w:rsidRDefault="00396515" w:rsidP="00386477">
      <w:pPr>
        <w:jc w:val="both"/>
        <w:rPr>
          <w:b/>
        </w:rPr>
      </w:pPr>
      <w:r w:rsidRPr="00396515">
        <w:rPr>
          <w:b/>
        </w:rPr>
        <w:t>Grafico : Tendencias de la campaña presidencial Julio-Octubre</w:t>
      </w:r>
    </w:p>
    <w:p w14:paraId="23E380E7" w14:textId="77777777" w:rsidR="00396515" w:rsidRPr="00396515" w:rsidRDefault="00396515" w:rsidP="00386477">
      <w:pPr>
        <w:jc w:val="both"/>
        <w:rPr>
          <w:b/>
        </w:rPr>
      </w:pPr>
    </w:p>
    <w:p w14:paraId="2233A9E1" w14:textId="36134E43" w:rsidR="000C12F4" w:rsidRDefault="000F74F9" w:rsidP="00386477">
      <w:pPr>
        <w:jc w:val="both"/>
      </w:pPr>
      <w:r>
        <w:rPr>
          <w:noProof/>
          <w:lang w:val="es-ES"/>
        </w:rPr>
        <w:drawing>
          <wp:inline distT="0" distB="0" distL="0" distR="0" wp14:anchorId="1DAE41F9" wp14:editId="30D03575">
            <wp:extent cx="5716905" cy="2900226"/>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810F2A5" w14:textId="2BCC9CA8" w:rsidR="000C12F4" w:rsidRPr="00396515" w:rsidRDefault="00396515" w:rsidP="00386477">
      <w:pPr>
        <w:jc w:val="both"/>
        <w:rPr>
          <w:i/>
          <w:sz w:val="20"/>
          <w:szCs w:val="20"/>
        </w:rPr>
      </w:pPr>
      <w:r w:rsidRPr="00396515">
        <w:rPr>
          <w:i/>
          <w:sz w:val="20"/>
          <w:szCs w:val="20"/>
        </w:rPr>
        <w:t xml:space="preserve">Elaborado en base a Cadem Estudio electoral </w:t>
      </w:r>
      <w:r>
        <w:rPr>
          <w:i/>
          <w:sz w:val="20"/>
          <w:szCs w:val="20"/>
        </w:rPr>
        <w:t xml:space="preserve">No. </w:t>
      </w:r>
      <w:r w:rsidRPr="00396515">
        <w:rPr>
          <w:i/>
          <w:sz w:val="20"/>
          <w:szCs w:val="20"/>
        </w:rPr>
        <w:t>2/10/10/17</w:t>
      </w:r>
    </w:p>
    <w:p w14:paraId="5747B344" w14:textId="77777777" w:rsidR="009C4E5A" w:rsidRDefault="009C4E5A" w:rsidP="00386477">
      <w:pPr>
        <w:jc w:val="both"/>
        <w:rPr>
          <w:b/>
        </w:rPr>
      </w:pPr>
    </w:p>
    <w:p w14:paraId="46861392" w14:textId="77777777" w:rsidR="00396515" w:rsidRDefault="00396515" w:rsidP="00386477">
      <w:pPr>
        <w:jc w:val="both"/>
        <w:rPr>
          <w:b/>
        </w:rPr>
      </w:pPr>
    </w:p>
    <w:p w14:paraId="1C6219E2" w14:textId="62D8B996" w:rsidR="00396515" w:rsidRDefault="00396515" w:rsidP="00386477">
      <w:pPr>
        <w:jc w:val="both"/>
      </w:pPr>
      <w:r>
        <w:t xml:space="preserve">Elementos de la estrategia de Guillier, mas allá del tradicional despliegue territorial concentrado en las grandes </w:t>
      </w:r>
      <w:r w:rsidR="00A75A03">
        <w:t>zonas de votación, son el acento de continuidad con</w:t>
      </w:r>
      <w:r>
        <w:t xml:space="preserve"> las reformas de Bachelet, la confrontación directa con Piñera, un</w:t>
      </w:r>
      <w:r w:rsidR="00A75A03">
        <w:t xml:space="preserve"> mayor</w:t>
      </w:r>
      <w:r>
        <w:t xml:space="preserve"> protagonismo comuni</w:t>
      </w:r>
      <w:r w:rsidR="00AF0C95">
        <w:t>cacional en temas de coyuntura y la operación de unidad para la segunda vuelta</w:t>
      </w:r>
    </w:p>
    <w:p w14:paraId="3CF7F248" w14:textId="77777777" w:rsidR="00AF0C95" w:rsidRPr="00396515" w:rsidRDefault="00AF0C95" w:rsidP="00386477">
      <w:pPr>
        <w:jc w:val="both"/>
      </w:pPr>
    </w:p>
    <w:p w14:paraId="1F42595B" w14:textId="7CDF7DEB" w:rsidR="00AF0C95" w:rsidRDefault="00AF0C95" w:rsidP="00386477">
      <w:pPr>
        <w:jc w:val="both"/>
      </w:pPr>
      <w:r>
        <w:rPr>
          <w:b/>
        </w:rPr>
        <w:t>La opciòn de Guillier y el comando por la continuidad y cercanía con Bachelet ,</w:t>
      </w:r>
      <w:r w:rsidR="002453F1">
        <w:rPr>
          <w:b/>
        </w:rPr>
        <w:t xml:space="preserve"> es zigzagueante,</w:t>
      </w:r>
      <w:r w:rsidR="002453F1">
        <w:t xml:space="preserve"> </w:t>
      </w:r>
      <w:r>
        <w:t xml:space="preserve">no tiene la disciplina para mantenerla a todo evento, como sucedió con el desmarcamiento </w:t>
      </w:r>
      <w:r w:rsidR="002453F1">
        <w:t xml:space="preserve">inicial </w:t>
      </w:r>
      <w:r>
        <w:t>de Guillier</w:t>
      </w:r>
      <w:r w:rsidR="002453F1">
        <w:t xml:space="preserve"> inicial  con </w:t>
      </w:r>
      <w:r>
        <w:t xml:space="preserve">el proyecto de Presupuesto </w:t>
      </w:r>
      <w:r w:rsidR="002453F1">
        <w:t xml:space="preserve">2018  y el aumento del gasto público de 3.9%. </w:t>
      </w:r>
      <w:r>
        <w:t>El “</w:t>
      </w:r>
      <w:r w:rsidRPr="00AF0C95">
        <w:rPr>
          <w:i/>
        </w:rPr>
        <w:t>bacheletismo”</w:t>
      </w:r>
      <w:r>
        <w:t xml:space="preserve"> de la campaña de Guillier apunta a e</w:t>
      </w:r>
      <w:r w:rsidR="002453F1">
        <w:t>se 35% que se identifica con Bachelet en alza y su g</w:t>
      </w:r>
      <w:r>
        <w:t xml:space="preserve">obierno reformista </w:t>
      </w:r>
      <w:r w:rsidR="00A75A03">
        <w:t xml:space="preserve"> y sin duda es un factor d</w:t>
      </w:r>
      <w:r w:rsidR="00113071">
        <w:t>e crecimiento de su candidatura pero con limitaciones de ampliar su base de votacion mas allá del núcleo duro del Gobierno .</w:t>
      </w:r>
    </w:p>
    <w:p w14:paraId="4BE7258F" w14:textId="77777777" w:rsidR="00AF0C95" w:rsidRDefault="00AF0C95" w:rsidP="00386477">
      <w:pPr>
        <w:jc w:val="both"/>
      </w:pPr>
      <w:r>
        <w:t xml:space="preserve"> </w:t>
      </w:r>
    </w:p>
    <w:p w14:paraId="032F50A9" w14:textId="24EEAB4A" w:rsidR="00AF0C95" w:rsidRDefault="00113071" w:rsidP="00386477">
      <w:pPr>
        <w:jc w:val="both"/>
      </w:pPr>
      <w:r>
        <w:rPr>
          <w:b/>
        </w:rPr>
        <w:t xml:space="preserve">En todo caso, </w:t>
      </w:r>
      <w:r w:rsidR="00AF0C95" w:rsidRPr="002453F1">
        <w:rPr>
          <w:b/>
        </w:rPr>
        <w:t>Guillier parece haberse ordenado en la direcciòn estratégica de su campaña, para señalar  y confrontar como su principal adversario electoral a Piñera</w:t>
      </w:r>
      <w:r w:rsidR="00AF0C95">
        <w:t xml:space="preserve">, dejando atrás la etapa de </w:t>
      </w:r>
      <w:r w:rsidR="00A75A03">
        <w:t xml:space="preserve">una </w:t>
      </w:r>
      <w:r w:rsidR="00AF0C95">
        <w:t>campaña desorie</w:t>
      </w:r>
      <w:r w:rsidR="00770063">
        <w:t>ntada</w:t>
      </w:r>
      <w:r w:rsidR="00A75A03">
        <w:t xml:space="preserve">, </w:t>
      </w:r>
      <w:r w:rsidR="00770063">
        <w:t xml:space="preserve"> que lo tuvo confrontando con</w:t>
      </w:r>
      <w:r w:rsidR="00AF0C95">
        <w:t xml:space="preserve"> los notarios, medios de comunicaciòn, encuestas, fiscalías y partidos polìticos. La confrontación directa con Piñera en la medida que genera respuesta, invisibiliza las otras candidaturas de centroizquierda. La nueva versión de la confrontaciòn se instaló con el i</w:t>
      </w:r>
      <w:r w:rsidR="00D20E5F">
        <w:t xml:space="preserve">nstructivo de campaña de Guillier que señala que “... </w:t>
      </w:r>
      <w:r w:rsidR="00D20E5F">
        <w:rPr>
          <w:i/>
        </w:rPr>
        <w:t>debemos decirles a los ciudadanos que Piñera es un riesgo para el país”</w:t>
      </w:r>
      <w:r w:rsidR="00D20E5F">
        <w:t xml:space="preserve"> , asociado en el mismo documento al tema de la gratuidad, mejoramiento de pensiones. </w:t>
      </w:r>
      <w:r w:rsidR="00770063">
        <w:t xml:space="preserve">Guillier reafirmó </w:t>
      </w:r>
      <w:r w:rsidR="00A75A03">
        <w:t xml:space="preserve">eses discurso afirmando </w:t>
      </w:r>
      <w:r w:rsidR="002453F1">
        <w:t xml:space="preserve">que “ </w:t>
      </w:r>
      <w:r w:rsidR="002453F1">
        <w:rPr>
          <w:i/>
        </w:rPr>
        <w:t>Piñera representa un riesgo, un peligro de retroceso que para el país sería inaceptable”.</w:t>
      </w:r>
      <w:r w:rsidR="00D20E5F">
        <w:t xml:space="preserve">Este discurso del </w:t>
      </w:r>
      <w:r w:rsidR="00D20E5F" w:rsidRPr="00D20E5F">
        <w:rPr>
          <w:i/>
        </w:rPr>
        <w:t xml:space="preserve">“riesgo país </w:t>
      </w:r>
      <w:r w:rsidR="00D20E5F">
        <w:t>“</w:t>
      </w:r>
      <w:r w:rsidR="00AF0C95">
        <w:rPr>
          <w:i/>
        </w:rPr>
        <w:t xml:space="preserve"> </w:t>
      </w:r>
      <w:r w:rsidR="00770063">
        <w:t>abrió un debate con Piñera y su sector, que contraatacó</w:t>
      </w:r>
      <w:r w:rsidR="002453F1">
        <w:t xml:space="preserve"> calficándolo de</w:t>
      </w:r>
      <w:r w:rsidR="00D20E5F">
        <w:t xml:space="preserve"> </w:t>
      </w:r>
      <w:r w:rsidR="002453F1">
        <w:t xml:space="preserve">“ </w:t>
      </w:r>
      <w:r w:rsidR="002453F1">
        <w:rPr>
          <w:i/>
        </w:rPr>
        <w:t>campaña del terror” y</w:t>
      </w:r>
      <w:r w:rsidR="00D20E5F">
        <w:t xml:space="preserve"> “ </w:t>
      </w:r>
      <w:r w:rsidR="00D20E5F" w:rsidRPr="00D20E5F">
        <w:rPr>
          <w:i/>
        </w:rPr>
        <w:t>bajeza”</w:t>
      </w:r>
      <w:r w:rsidR="00D84A90">
        <w:t xml:space="preserve">. </w:t>
      </w:r>
      <w:r w:rsidR="002453F1">
        <w:t>L</w:t>
      </w:r>
      <w:r w:rsidR="00D84A90">
        <w:t>a c</w:t>
      </w:r>
      <w:r w:rsidR="002453F1">
        <w:t>onfrontacion</w:t>
      </w:r>
      <w:r w:rsidR="00D84A90">
        <w:t xml:space="preserve"> </w:t>
      </w:r>
      <w:r w:rsidR="002453F1">
        <w:t xml:space="preserve">directa </w:t>
      </w:r>
      <w:r w:rsidR="00D84A90">
        <w:t>entre Guillier y Piñera</w:t>
      </w:r>
      <w:r w:rsidR="002453F1">
        <w:t>, mas allá de la evaluación de la minuta comunicacional,</w:t>
      </w:r>
      <w:r w:rsidR="00D84A90">
        <w:t xml:space="preserve"> tiende a favorecer al cand</w:t>
      </w:r>
      <w:r w:rsidR="002453F1">
        <w:t>idato de centroizquierda, que busca</w:t>
      </w:r>
      <w:r w:rsidR="00D84A90">
        <w:t xml:space="preserve"> instala</w:t>
      </w:r>
      <w:r w:rsidR="002453F1">
        <w:t>rse</w:t>
      </w:r>
      <w:r w:rsidR="00D84A90">
        <w:t xml:space="preserve"> como el contrincante d</w:t>
      </w:r>
      <w:r w:rsidR="002453F1">
        <w:t>irecto de la opción de derechas</w:t>
      </w:r>
      <w:r w:rsidR="00D84A90">
        <w:t xml:space="preserve"> y de</w:t>
      </w:r>
      <w:r w:rsidR="002453F1">
        <w:t>fensor de</w:t>
      </w:r>
      <w:r w:rsidR="00D84A90">
        <w:t xml:space="preserve"> </w:t>
      </w:r>
      <w:r w:rsidR="002453F1">
        <w:t>la continuidad de las reformas</w:t>
      </w:r>
      <w:r w:rsidR="00D84A90">
        <w:t>.</w:t>
      </w:r>
    </w:p>
    <w:p w14:paraId="01CA6AC9" w14:textId="77777777" w:rsidR="002453F1" w:rsidRDefault="002453F1" w:rsidP="00386477">
      <w:pPr>
        <w:jc w:val="both"/>
      </w:pPr>
    </w:p>
    <w:p w14:paraId="4D6F5D69" w14:textId="47C50D66" w:rsidR="002453F1" w:rsidRDefault="002453F1" w:rsidP="00386477">
      <w:pPr>
        <w:jc w:val="both"/>
      </w:pPr>
      <w:r>
        <w:t>La proyecciòn cada vez mas cierta de ser el candidato que pase a segunda vuelta, ha llevado a Guillier y su equipo a</w:t>
      </w:r>
      <w:r w:rsidR="000A55B9">
        <w:t xml:space="preserve"> impulsar una linea de acciòn unitaria dela centroizquierda. La</w:t>
      </w:r>
      <w:r>
        <w:t xml:space="preserve"> “ </w:t>
      </w:r>
      <w:r w:rsidR="00113071">
        <w:rPr>
          <w:i/>
        </w:rPr>
        <w:t>o</w:t>
      </w:r>
      <w:r w:rsidRPr="000A55B9">
        <w:rPr>
          <w:i/>
        </w:rPr>
        <w:t>peración segunda vuelta</w:t>
      </w:r>
      <w:r>
        <w:t xml:space="preserve">” </w:t>
      </w:r>
      <w:r w:rsidR="000A55B9">
        <w:t xml:space="preserve">, clave para controlar la fuga de votos y concentrar votaciòn en el candidato mas competitivo, </w:t>
      </w:r>
      <w:r>
        <w:t>tuvo un logro político con el documento firmado por 300 dirigentes políticos incluyendo a parlamentario</w:t>
      </w:r>
      <w:r w:rsidR="000A55B9">
        <w:t>s DC vinculados a la disidencia, que en lo sustantivo señala “..</w:t>
      </w:r>
      <w:r w:rsidR="000A55B9" w:rsidRPr="000A55B9">
        <w:rPr>
          <w:i/>
        </w:rPr>
        <w:t xml:space="preserve">nos comprometemos a que en la segunda vuelta apoyaremos al </w:t>
      </w:r>
      <w:r w:rsidR="000A55B9">
        <w:rPr>
          <w:i/>
        </w:rPr>
        <w:t>candidato o candidata de la cent</w:t>
      </w:r>
      <w:r w:rsidR="000A55B9" w:rsidRPr="000A55B9">
        <w:rPr>
          <w:i/>
        </w:rPr>
        <w:t>roizquierda que represente las fuerzas de centroizquierda e izquierda..”.</w:t>
      </w:r>
      <w:r w:rsidR="000A55B9">
        <w:t>con un mensaje a la Nueva Mayoría pero inclusivo a Beatriz Sánchez. El presidente del PPD,Gonzalo Navarrete , señaló que “</w:t>
      </w:r>
      <w:r w:rsidR="000A55B9">
        <w:rPr>
          <w:i/>
        </w:rPr>
        <w:t xml:space="preserve">esto se ha trabajado en las últimas dos semanas..entendemos que hay necesidad de proyectar este trabajo”. </w:t>
      </w:r>
      <w:r w:rsidR="00A75A03">
        <w:t>La Moneda apoyó</w:t>
      </w:r>
      <w:r w:rsidR="000A55B9">
        <w:t xml:space="preserve"> este acuerdo, ante la molestia de la directiva DC y de la opinion </w:t>
      </w:r>
      <w:r w:rsidR="00A75A03">
        <w:t xml:space="preserve">crítica </w:t>
      </w:r>
      <w:r w:rsidR="000A55B9">
        <w:t xml:space="preserve">de </w:t>
      </w:r>
      <w:r w:rsidR="00A75A03">
        <w:t xml:space="preserve"> </w:t>
      </w:r>
      <w:r w:rsidR="000A55B9">
        <w:t xml:space="preserve">Goic de ser un “ </w:t>
      </w:r>
      <w:r w:rsidR="000A55B9" w:rsidRPr="000A55B9">
        <w:rPr>
          <w:i/>
        </w:rPr>
        <w:t>acuerdo cupular</w:t>
      </w:r>
      <w:r w:rsidR="000A55B9">
        <w:t xml:space="preserve"> “. La estrategia unitaria de segunda vuelta en la coyuntura actual </w:t>
      </w:r>
      <w:r w:rsidR="000A55B9" w:rsidRPr="000A55B9">
        <w:rPr>
          <w:b/>
        </w:rPr>
        <w:t>favorece el posicionamiento de Guillier como lider de la unidad</w:t>
      </w:r>
      <w:r w:rsidR="000A55B9">
        <w:rPr>
          <w:b/>
        </w:rPr>
        <w:t xml:space="preserve"> de la centroizquierda, </w:t>
      </w:r>
      <w:r w:rsidR="000A55B9" w:rsidRPr="000A55B9">
        <w:t xml:space="preserve">y comienza a preparar el </w:t>
      </w:r>
      <w:r w:rsidR="000A55B9">
        <w:t xml:space="preserve">dificil escenario de concentración de fuerzas </w:t>
      </w:r>
      <w:r w:rsidR="000A55B9" w:rsidRPr="000A55B9">
        <w:t>para después del 19 de Noviembre.</w:t>
      </w:r>
      <w:r w:rsidR="006D3E74">
        <w:t xml:space="preserve"> En esta operación unitaria, el rol de los lideres históricos de la centroizquierda, especialmente de la DC vá a resultar clave.</w:t>
      </w:r>
    </w:p>
    <w:p w14:paraId="514E5DD8" w14:textId="77777777" w:rsidR="000A55B9" w:rsidRDefault="000A55B9" w:rsidP="00386477">
      <w:pPr>
        <w:jc w:val="both"/>
      </w:pPr>
    </w:p>
    <w:p w14:paraId="24DF7B7E" w14:textId="78DBCB60" w:rsidR="00396515" w:rsidRDefault="00EE5497" w:rsidP="00386477">
      <w:pPr>
        <w:jc w:val="both"/>
      </w:pPr>
      <w:r>
        <w:rPr>
          <w:b/>
        </w:rPr>
        <w:t>En una eval</w:t>
      </w:r>
      <w:r w:rsidR="00A75A03">
        <w:rPr>
          <w:b/>
        </w:rPr>
        <w:t>uación de otros aspectos, l</w:t>
      </w:r>
      <w:r w:rsidR="006D3E74" w:rsidRPr="006D3E74">
        <w:rPr>
          <w:b/>
        </w:rPr>
        <w:t>a campaña de Guillier mantiene una debilidad propositiva y de contenidos</w:t>
      </w:r>
      <w:r w:rsidR="00113071">
        <w:t xml:space="preserve"> - </w:t>
      </w:r>
      <w:r w:rsidR="006D3E74">
        <w:t>que a esta altura parec</w:t>
      </w:r>
      <w:r w:rsidR="00A75A03">
        <w:t>iera</w:t>
      </w:r>
      <w:r w:rsidR="006D3E74">
        <w:t xml:space="preserve"> ser mas com</w:t>
      </w:r>
      <w:r w:rsidR="00113071">
        <w:t xml:space="preserve">unicacional que de contenidos - </w:t>
      </w:r>
      <w:r w:rsidR="006D3E74">
        <w:t>como lo demuestra el lanzamiento de una interesante propuesta de  minería y el cobre en Calama, en un escenario comunicacional poco adecuado para una visibilización potente de un</w:t>
      </w:r>
      <w:r w:rsidR="00113071">
        <w:t xml:space="preserve"> tema estratégico para el país.</w:t>
      </w:r>
      <w:r w:rsidR="006D3E74">
        <w:t xml:space="preserve"> En la fase actual de la campaña no hay ninguna gran propuesta asociada a la candidatura de Guillier, ni siquiera de la gran reforma de pensiones</w:t>
      </w:r>
      <w:r w:rsidR="00A75A03">
        <w:t>, que lo ha estado asumiendo con fuerza Goic.</w:t>
      </w:r>
      <w:r w:rsidR="006D3E74">
        <w:t>El mismo documento comunicacional de l</w:t>
      </w:r>
      <w:r w:rsidR="00A75A03">
        <w:t xml:space="preserve">a tesis del riesgo, lo refleja: </w:t>
      </w:r>
      <w:r w:rsidR="006D3E74">
        <w:t xml:space="preserve">está construido en la linea </w:t>
      </w:r>
      <w:r w:rsidR="00A75A03">
        <w:t>de la defensa de las reformas ,de</w:t>
      </w:r>
      <w:r w:rsidR="006D3E74">
        <w:t xml:space="preserve"> “ </w:t>
      </w:r>
      <w:r w:rsidR="006D3E74" w:rsidRPr="00A75A03">
        <w:rPr>
          <w:i/>
        </w:rPr>
        <w:t>no virar derecha”</w:t>
      </w:r>
      <w:r w:rsidR="006D3E74">
        <w:t xml:space="preserve">, como se hizo en la campaña de Frei del 2009, pero no se acentúa del proyecto de futuro de Guillier. </w:t>
      </w:r>
    </w:p>
    <w:p w14:paraId="1D3EC739" w14:textId="77777777" w:rsidR="00A75A03" w:rsidRDefault="00A75A03" w:rsidP="00386477">
      <w:pPr>
        <w:jc w:val="both"/>
        <w:rPr>
          <w:b/>
        </w:rPr>
      </w:pPr>
    </w:p>
    <w:p w14:paraId="74B51B0E" w14:textId="6231965D" w:rsidR="009C4E5A" w:rsidRDefault="004066E5" w:rsidP="00386477">
      <w:pPr>
        <w:jc w:val="both"/>
        <w:rPr>
          <w:b/>
        </w:rPr>
      </w:pPr>
      <w:r>
        <w:rPr>
          <w:b/>
        </w:rPr>
        <w:t>Sá</w:t>
      </w:r>
      <w:r w:rsidR="009C4E5A">
        <w:rPr>
          <w:b/>
        </w:rPr>
        <w:t xml:space="preserve">nchez perdiendo terreno </w:t>
      </w:r>
      <w:r w:rsidR="00A75A03">
        <w:rPr>
          <w:b/>
        </w:rPr>
        <w:t xml:space="preserve">busca </w:t>
      </w:r>
      <w:r w:rsidR="009C4E5A">
        <w:rPr>
          <w:b/>
        </w:rPr>
        <w:t>ajusta</w:t>
      </w:r>
      <w:r w:rsidR="00A75A03">
        <w:rPr>
          <w:b/>
        </w:rPr>
        <w:t>r su</w:t>
      </w:r>
      <w:r w:rsidR="009C4E5A">
        <w:rPr>
          <w:b/>
        </w:rPr>
        <w:t xml:space="preserve"> estrategia de la recta final</w:t>
      </w:r>
      <w:r w:rsidR="002936AC">
        <w:rPr>
          <w:b/>
        </w:rPr>
        <w:t>.</w:t>
      </w:r>
    </w:p>
    <w:p w14:paraId="68F3C6C4" w14:textId="77777777" w:rsidR="004066E5" w:rsidRDefault="004066E5" w:rsidP="00386477">
      <w:pPr>
        <w:jc w:val="both"/>
      </w:pPr>
    </w:p>
    <w:p w14:paraId="12F308E2" w14:textId="386F0DA7" w:rsidR="00192E49" w:rsidRDefault="004066E5" w:rsidP="00386477">
      <w:pPr>
        <w:jc w:val="both"/>
      </w:pPr>
      <w:r>
        <w:t xml:space="preserve">El impulso de las primarias de Julio le sirvió para llegar a su peak de 26 puntos, sobrepasando a Guillier en 10 puntos , para </w:t>
      </w:r>
      <w:r w:rsidR="00A75A03">
        <w:t xml:space="preserve">luego </w:t>
      </w:r>
      <w:r>
        <w:t>comenzar</w:t>
      </w:r>
      <w:r w:rsidR="00A75A03">
        <w:t xml:space="preserve"> </w:t>
      </w:r>
      <w:r>
        <w:t>a declinar</w:t>
      </w:r>
      <w:r w:rsidR="00A75A03">
        <w:t xml:space="preserve"> tendencialmente perdiendo apoyo </w:t>
      </w:r>
      <w:r w:rsidR="000F74F9">
        <w:t>hasta  llegar a 13</w:t>
      </w:r>
      <w:r>
        <w:t xml:space="preserve"> puntos.</w:t>
      </w:r>
      <w:r w:rsidR="00A75A03">
        <w:t xml:space="preserve"> Ha perdido competitividad y ha dejado de ser una amenaza</w:t>
      </w:r>
      <w:r>
        <w:t xml:space="preserve"> para Guillier en la disputa de la primera vuelta.</w:t>
      </w:r>
      <w:r w:rsidR="008E5D7D">
        <w:t xml:space="preserve"> El</w:t>
      </w:r>
      <w:r w:rsidR="00192E49">
        <w:t xml:space="preserve"> alternativismo de izquierda en la campaña se </w:t>
      </w:r>
      <w:r w:rsidR="008E5D7D">
        <w:t>desplazó de Sánchez hacia  MEO ,</w:t>
      </w:r>
      <w:r w:rsidR="00192E49">
        <w:t>que con permanentes intervenciones provocativas contra Piñera, Guillier y apostando a captar el voto de apoyo a Bachelet con una incondicionalidad de sello electoral, ha ido afirmando un 5% de votación.</w:t>
      </w:r>
    </w:p>
    <w:p w14:paraId="6BCE297A" w14:textId="77777777" w:rsidR="00192E49" w:rsidRDefault="00192E49" w:rsidP="00386477">
      <w:pPr>
        <w:jc w:val="both"/>
      </w:pPr>
    </w:p>
    <w:p w14:paraId="6E4679A2" w14:textId="7ECD16DF" w:rsidR="004066E5" w:rsidRDefault="004066E5" w:rsidP="00386477">
      <w:pPr>
        <w:jc w:val="both"/>
      </w:pPr>
      <w:r>
        <w:t>Los problemas del Frente Amplio, con disputas tradicionales de la polìtica de poder , hicieron m</w:t>
      </w:r>
      <w:r w:rsidR="00A75A03">
        <w:t>ella en la imagen de la coalici</w:t>
      </w:r>
      <w:r>
        <w:t xml:space="preserve">ón, sus lideres,  incluyendo a Sanchez, posicionados en el discurso puritano de la nueva polìtica . La carencia de un discurso mas amplio y tranversal de Sanchez la arrinconó en el nicho histórico del 10% de izquierdas de votaciones alternativa pasadas. </w:t>
      </w:r>
      <w:r w:rsidR="00A75A03">
        <w:t>El debate en relación a su conducta en la segunda vuelta comienza a tensionar la fragil coalicion de izquierda con posturas mas abiertas y unitarias como las de Sharp ( pensando a futuro ) y las mas críticas a un apoyo a Guillier de algunos partidos del bloque.</w:t>
      </w:r>
    </w:p>
    <w:p w14:paraId="0C81F22C" w14:textId="77777777" w:rsidR="00A12232" w:rsidRDefault="00A12232" w:rsidP="00386477">
      <w:pPr>
        <w:jc w:val="both"/>
      </w:pPr>
    </w:p>
    <w:p w14:paraId="4C8C8115" w14:textId="3115FE75" w:rsidR="002936AC" w:rsidRDefault="00A12232" w:rsidP="00386477">
      <w:pPr>
        <w:jc w:val="both"/>
      </w:pPr>
      <w:r>
        <w:t xml:space="preserve">El </w:t>
      </w:r>
      <w:r w:rsidR="005E1903">
        <w:t>diagnóstico del comando de Sánchez</w:t>
      </w:r>
      <w:r w:rsidR="00A75A03">
        <w:t xml:space="preserve"> sobre la baja de su candidata, </w:t>
      </w:r>
      <w:r w:rsidR="005E1903">
        <w:t xml:space="preserve"> apunta al tema del conocimiento y de la debilidad</w:t>
      </w:r>
      <w:r w:rsidR="00A75A03">
        <w:t xml:space="preserve"> de redes territoriales y no de las debilidades de su </w:t>
      </w:r>
      <w:r w:rsidR="005E1903">
        <w:t xml:space="preserve"> discurso y estrategia política de campaña.El jefe de estrategia del comando, Sebastian Kraljevic afirma que “..</w:t>
      </w:r>
      <w:r w:rsidR="005E1903">
        <w:rPr>
          <w:i/>
        </w:rPr>
        <w:t>el mayor deficit que tiene la campaña es conocimiento y redes territoriales</w:t>
      </w:r>
      <w:r w:rsidR="00192E49">
        <w:rPr>
          <w:i/>
        </w:rPr>
        <w:t>..”</w:t>
      </w:r>
      <w:r w:rsidR="00192E49">
        <w:t xml:space="preserve"> señala que van a “ </w:t>
      </w:r>
      <w:r w:rsidR="00192E49">
        <w:rPr>
          <w:i/>
        </w:rPr>
        <w:t>a intensificar el contacto directo..si logramos que masgente la conozca tenemos opciones importantes”.</w:t>
      </w:r>
      <w:r w:rsidR="00192E49">
        <w:t xml:space="preserve"> El problema de la cand</w:t>
      </w:r>
      <w:r w:rsidR="00A75A03">
        <w:t>idatura de Sanchez está mas en los c</w:t>
      </w:r>
      <w:r w:rsidR="00192E49">
        <w:t>ontenidos, opcion polìtica de izquierda , aislacionismo que en conocimiento. La estrategia del contacto directo a un mes de campaña resulta inviable para potenciar el conocimiento y adhesion a Sanchez. Por ahora mantiene su ter</w:t>
      </w:r>
      <w:r w:rsidR="008E5D7D">
        <w:t>cer lugar con tendencia a la baja.</w:t>
      </w:r>
    </w:p>
    <w:p w14:paraId="62DBE2BE" w14:textId="77777777" w:rsidR="009C4E5A" w:rsidRDefault="009C4E5A" w:rsidP="00386477">
      <w:pPr>
        <w:jc w:val="both"/>
        <w:rPr>
          <w:b/>
        </w:rPr>
      </w:pPr>
    </w:p>
    <w:p w14:paraId="28967A34" w14:textId="77777777" w:rsidR="009C4E5A" w:rsidRDefault="009C4E5A" w:rsidP="00386477">
      <w:pPr>
        <w:jc w:val="both"/>
        <w:rPr>
          <w:b/>
        </w:rPr>
      </w:pPr>
      <w:r>
        <w:rPr>
          <w:b/>
        </w:rPr>
        <w:t xml:space="preserve">Goic no repunta y mantiene una campaña testimonial sin futuro. </w:t>
      </w:r>
    </w:p>
    <w:p w14:paraId="579C0CCC" w14:textId="77777777" w:rsidR="008E5D7D" w:rsidRDefault="008E5D7D" w:rsidP="00386477">
      <w:pPr>
        <w:jc w:val="both"/>
        <w:rPr>
          <w:b/>
        </w:rPr>
      </w:pPr>
    </w:p>
    <w:p w14:paraId="5FF0819F" w14:textId="0ECA62E3" w:rsidR="00644287" w:rsidRDefault="008E5D7D" w:rsidP="00386477">
      <w:pPr>
        <w:jc w:val="both"/>
      </w:pPr>
      <w:r>
        <w:t>El repunte de Goic en las encuestas que la llevó a un 6% definitivamente se agotó. Su</w:t>
      </w:r>
      <w:r w:rsidR="000F74F9">
        <w:t xml:space="preserve"> candidatura perdió impulso y se mantiene en torno al   4% </w:t>
      </w:r>
      <w:r>
        <w:t>.</w:t>
      </w:r>
    </w:p>
    <w:p w14:paraId="37F510A4" w14:textId="28A99099" w:rsidR="008E5D7D" w:rsidRDefault="008E5D7D" w:rsidP="00386477">
      <w:pPr>
        <w:jc w:val="both"/>
      </w:pPr>
      <w:r>
        <w:t xml:space="preserve"> </w:t>
      </w:r>
    </w:p>
    <w:p w14:paraId="18A3D30A" w14:textId="744C7B49" w:rsidR="008E5D7D" w:rsidRDefault="008E5D7D" w:rsidP="00386477">
      <w:pPr>
        <w:jc w:val="both"/>
      </w:pPr>
      <w:r>
        <w:t>Su campaña no ha logrado instalarse</w:t>
      </w:r>
      <w:r w:rsidR="00644287">
        <w:t xml:space="preserve"> positivamente </w:t>
      </w:r>
      <w:r>
        <w:t xml:space="preserve"> en la opiniòn pública, acentuando una tendencia reactiva cr</w:t>
      </w:r>
      <w:r w:rsidR="00644287">
        <w:t xml:space="preserve">ítica . El tema dominante de la </w:t>
      </w:r>
      <w:r>
        <w:t>campaña</w:t>
      </w:r>
      <w:r w:rsidR="00644287">
        <w:t xml:space="preserve"> de Goic</w:t>
      </w:r>
      <w:r>
        <w:t xml:space="preserve"> en las ultimas semanas es su negativa a un pacto de unidad de</w:t>
      </w:r>
      <w:r w:rsidR="00644287">
        <w:t xml:space="preserve"> centroizquierda , c</w:t>
      </w:r>
      <w:r w:rsidR="00A75A03">
        <w:t>on el discurso de conversar despué</w:t>
      </w:r>
      <w:r w:rsidR="00644287">
        <w:t>s de la primera vuelta. Frente al documento unitario de los 300 dirigentes incluidos parlamentarios de la DC, Goic salió al paso señalando que “..es</w:t>
      </w:r>
      <w:r w:rsidR="00644287" w:rsidRPr="00644287">
        <w:rPr>
          <w:i/>
        </w:rPr>
        <w:t>tos acuerdos cupulares, de espaldas a la ciudadanía, yo no los comparto</w:t>
      </w:r>
      <w:r w:rsidR="00644287">
        <w:t xml:space="preserve">”. El posicionamiento no unitario de Goic </w:t>
      </w:r>
      <w:r w:rsidR="002C128C">
        <w:t xml:space="preserve">, que tiene justificación en la lógina interna partidaria de la identidad DC y el transito al camino propio, tiene costos polìticos en la votaciòn de centroizquierda, con un historial de votación unitaria contra la Derecha desde 1998. El discurso de Goic  durante este año contra primarias unitarias, contra candidato ùnico y ahora en oposición a un pacto de apoyo mutuo de centroizquierda no es el mejor camino para </w:t>
      </w:r>
      <w:r>
        <w:t xml:space="preserve"> </w:t>
      </w:r>
      <w:r w:rsidR="002C128C">
        <w:t>fortalecer su liderazgo en la votación de centroizquierda y la ha llevado a mantenerse</w:t>
      </w:r>
      <w:r w:rsidR="00113071">
        <w:t xml:space="preserve"> en un bajo 4</w:t>
      </w:r>
      <w:r w:rsidR="00A75A03">
        <w:t xml:space="preserve">%, </w:t>
      </w:r>
      <w:r w:rsidR="00113071">
        <w:t>lejos de la</w:t>
      </w:r>
      <w:r w:rsidR="002C128C">
        <w:t xml:space="preserve"> votacion democratacristiana  superior al 10% .</w:t>
      </w:r>
    </w:p>
    <w:p w14:paraId="2C2D6B81" w14:textId="77777777" w:rsidR="002C128C" w:rsidRDefault="002C128C" w:rsidP="00386477">
      <w:pPr>
        <w:jc w:val="both"/>
      </w:pPr>
    </w:p>
    <w:p w14:paraId="4555321A" w14:textId="0312E517" w:rsidR="002C128C" w:rsidRDefault="002C128C" w:rsidP="00386477">
      <w:pPr>
        <w:jc w:val="both"/>
      </w:pPr>
      <w:r>
        <w:t>A casi un mes de la elecciòn, con una fuerte tendencia en desarrollo a cerrar filas en un camino común de centroizquierda y con una candidatura debil, las presiones por mantenerse en el “ domicilio de la centroizquierda” se van a sentir en la DC complejizando aun mas la campaña de Goic.</w:t>
      </w:r>
      <w:r w:rsidR="00FD2451">
        <w:t xml:space="preserve"> </w:t>
      </w:r>
    </w:p>
    <w:p w14:paraId="751F001C" w14:textId="77777777" w:rsidR="00C62F97" w:rsidRDefault="00C62F97" w:rsidP="00386477">
      <w:pPr>
        <w:jc w:val="both"/>
      </w:pPr>
    </w:p>
    <w:p w14:paraId="41543333" w14:textId="563CFD46" w:rsidR="00C62F97" w:rsidRPr="00A75A03" w:rsidRDefault="00C62F97" w:rsidP="00386477">
      <w:pPr>
        <w:jc w:val="both"/>
        <w:rPr>
          <w:i/>
        </w:rPr>
      </w:pPr>
      <w:r w:rsidRPr="00A75A03">
        <w:rPr>
          <w:i/>
        </w:rPr>
        <w:t>RPV/15/10/17</w:t>
      </w:r>
    </w:p>
    <w:p w14:paraId="7EC6AB26" w14:textId="77777777" w:rsidR="002C128C" w:rsidRDefault="002C128C" w:rsidP="00386477">
      <w:pPr>
        <w:jc w:val="both"/>
      </w:pPr>
    </w:p>
    <w:p w14:paraId="00B8DFE9" w14:textId="77777777" w:rsidR="002C128C" w:rsidRPr="008E5D7D" w:rsidRDefault="002C128C" w:rsidP="00386477">
      <w:pPr>
        <w:jc w:val="both"/>
      </w:pPr>
    </w:p>
    <w:sectPr w:rsidR="002C128C" w:rsidRPr="008E5D7D"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E5A"/>
    <w:rsid w:val="000A55B9"/>
    <w:rsid w:val="000C12F4"/>
    <w:rsid w:val="000F74F9"/>
    <w:rsid w:val="00113071"/>
    <w:rsid w:val="00192E49"/>
    <w:rsid w:val="002453F1"/>
    <w:rsid w:val="002936AC"/>
    <w:rsid w:val="002C128C"/>
    <w:rsid w:val="00320563"/>
    <w:rsid w:val="00386477"/>
    <w:rsid w:val="00396515"/>
    <w:rsid w:val="004066E5"/>
    <w:rsid w:val="004D2DE1"/>
    <w:rsid w:val="0054286D"/>
    <w:rsid w:val="005C0AA2"/>
    <w:rsid w:val="005E1903"/>
    <w:rsid w:val="00644287"/>
    <w:rsid w:val="006D3E74"/>
    <w:rsid w:val="00740B47"/>
    <w:rsid w:val="00770063"/>
    <w:rsid w:val="008E5D7D"/>
    <w:rsid w:val="009236B7"/>
    <w:rsid w:val="009C4E5A"/>
    <w:rsid w:val="00A1003C"/>
    <w:rsid w:val="00A12232"/>
    <w:rsid w:val="00A75A03"/>
    <w:rsid w:val="00AF0C95"/>
    <w:rsid w:val="00C62F97"/>
    <w:rsid w:val="00CE5277"/>
    <w:rsid w:val="00D20E5F"/>
    <w:rsid w:val="00D84A90"/>
    <w:rsid w:val="00DB5CBD"/>
    <w:rsid w:val="00E676C1"/>
    <w:rsid w:val="00E92A19"/>
    <w:rsid w:val="00EE5497"/>
    <w:rsid w:val="00FD245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27C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C4E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C4E5A"/>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39651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965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9C4E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9C4E5A"/>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39651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965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insonperez:Desktop:coyuntura%20:campa&#241;as%20a%20trois%20septiembre%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lineChart>
        <c:grouping val="standard"/>
        <c:varyColors val="0"/>
        <c:ser>
          <c:idx val="0"/>
          <c:order val="0"/>
          <c:tx>
            <c:strRef>
              <c:f>Hoja1!$I$6:$I$7</c:f>
              <c:strCache>
                <c:ptCount val="1"/>
                <c:pt idx="0">
                  <c:v>Piñera</c:v>
                </c:pt>
              </c:strCache>
            </c:strRef>
          </c:tx>
          <c:marker>
            <c:symbol val="none"/>
          </c:marker>
          <c:dLbls>
            <c:dLbl>
              <c:idx val="1"/>
              <c:layout>
                <c:manualLayout>
                  <c:x val="-0.00277777777777778"/>
                  <c:y val="-0.0377358490566038"/>
                </c:manualLayout>
              </c:layout>
              <c:showLegendKey val="0"/>
              <c:showVal val="1"/>
              <c:showCatName val="0"/>
              <c:showSerName val="0"/>
              <c:showPercent val="0"/>
              <c:showBubbleSize val="0"/>
            </c:dLbl>
            <c:dLbl>
              <c:idx val="2"/>
              <c:layout>
                <c:manualLayout>
                  <c:x val="0.0166666666666667"/>
                  <c:y val="-0.0343053173241852"/>
                </c:manualLayout>
              </c:layout>
              <c:showLegendKey val="0"/>
              <c:showVal val="1"/>
              <c:showCatName val="0"/>
              <c:showSerName val="0"/>
              <c:showPercent val="0"/>
              <c:showBubbleSize val="0"/>
            </c:dLbl>
            <c:dLbl>
              <c:idx val="3"/>
              <c:layout>
                <c:manualLayout>
                  <c:x val="-2.18722659718467E-7"/>
                  <c:y val="-0.0240137221269297"/>
                </c:manualLayout>
              </c:layout>
              <c:showLegendKey val="0"/>
              <c:showVal val="1"/>
              <c:showCatName val="0"/>
              <c:showSerName val="0"/>
              <c:showPercent val="0"/>
              <c:showBubbleSize val="0"/>
            </c:dLbl>
            <c:dLbl>
              <c:idx val="4"/>
              <c:layout>
                <c:manualLayout>
                  <c:x val="-0.0361111111111111"/>
                  <c:y val="-0.0240137221269297"/>
                </c:manualLayout>
              </c:layout>
              <c:showLegendKey val="0"/>
              <c:showVal val="1"/>
              <c:showCatName val="0"/>
              <c:showSerName val="0"/>
              <c:showPercent val="0"/>
              <c:showBubbleSize val="0"/>
            </c:dLbl>
            <c:dLbl>
              <c:idx val="5"/>
              <c:layout>
                <c:manualLayout>
                  <c:x val="-0.0194444444444444"/>
                  <c:y val="-0.0240137221269297"/>
                </c:manualLayout>
              </c:layout>
              <c:showLegendKey val="0"/>
              <c:showVal val="1"/>
              <c:showCatName val="0"/>
              <c:showSerName val="0"/>
              <c:showPercent val="0"/>
              <c:showBubbleSize val="0"/>
            </c:dLbl>
            <c:dLbl>
              <c:idx val="6"/>
              <c:layout>
                <c:manualLayout>
                  <c:x val="0.0"/>
                  <c:y val="-0.0102915951972556"/>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Hoja1!$H$8:$H$15</c:f>
              <c:numCache>
                <c:formatCode>d\-mmm</c:formatCode>
                <c:ptCount val="8"/>
                <c:pt idx="0">
                  <c:v>42923.0</c:v>
                </c:pt>
                <c:pt idx="1">
                  <c:v>42944.0</c:v>
                </c:pt>
                <c:pt idx="2">
                  <c:v>42951.0</c:v>
                </c:pt>
                <c:pt idx="3">
                  <c:v>42972.0</c:v>
                </c:pt>
                <c:pt idx="4">
                  <c:v>43000.0</c:v>
                </c:pt>
                <c:pt idx="5">
                  <c:v>43009.0</c:v>
                </c:pt>
                <c:pt idx="6">
                  <c:v>43014.0</c:v>
                </c:pt>
                <c:pt idx="7">
                  <c:v>43023.0</c:v>
                </c:pt>
              </c:numCache>
            </c:numRef>
          </c:cat>
          <c:val>
            <c:numRef>
              <c:f>Hoja1!$I$8:$I$15</c:f>
              <c:numCache>
                <c:formatCode>General</c:formatCode>
                <c:ptCount val="8"/>
                <c:pt idx="0">
                  <c:v>38.0</c:v>
                </c:pt>
                <c:pt idx="1">
                  <c:v>42.0</c:v>
                </c:pt>
                <c:pt idx="2">
                  <c:v>43.0</c:v>
                </c:pt>
                <c:pt idx="3">
                  <c:v>43.0</c:v>
                </c:pt>
                <c:pt idx="4">
                  <c:v>43.0</c:v>
                </c:pt>
                <c:pt idx="5">
                  <c:v>44.0</c:v>
                </c:pt>
                <c:pt idx="6">
                  <c:v>45.0</c:v>
                </c:pt>
                <c:pt idx="7">
                  <c:v>43.0</c:v>
                </c:pt>
              </c:numCache>
            </c:numRef>
          </c:val>
          <c:smooth val="0"/>
        </c:ser>
        <c:ser>
          <c:idx val="1"/>
          <c:order val="1"/>
          <c:tx>
            <c:strRef>
              <c:f>Hoja1!$J$6:$J$7</c:f>
              <c:strCache>
                <c:ptCount val="1"/>
                <c:pt idx="0">
                  <c:v>Guillier </c:v>
                </c:pt>
              </c:strCache>
            </c:strRef>
          </c:tx>
          <c:marker>
            <c:symbol val="none"/>
          </c:marker>
          <c:dLbls>
            <c:dLbl>
              <c:idx val="6"/>
              <c:layout>
                <c:manualLayout>
                  <c:x val="0.0"/>
                  <c:y val="-0.0102915951972556"/>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Hoja1!$H$8:$H$15</c:f>
              <c:numCache>
                <c:formatCode>d\-mmm</c:formatCode>
                <c:ptCount val="8"/>
                <c:pt idx="0">
                  <c:v>42923.0</c:v>
                </c:pt>
                <c:pt idx="1">
                  <c:v>42944.0</c:v>
                </c:pt>
                <c:pt idx="2">
                  <c:v>42951.0</c:v>
                </c:pt>
                <c:pt idx="3">
                  <c:v>42972.0</c:v>
                </c:pt>
                <c:pt idx="4">
                  <c:v>43000.0</c:v>
                </c:pt>
                <c:pt idx="5">
                  <c:v>43009.0</c:v>
                </c:pt>
                <c:pt idx="6">
                  <c:v>43014.0</c:v>
                </c:pt>
                <c:pt idx="7">
                  <c:v>43023.0</c:v>
                </c:pt>
              </c:numCache>
            </c:numRef>
          </c:cat>
          <c:val>
            <c:numRef>
              <c:f>Hoja1!$J$8:$J$15</c:f>
              <c:numCache>
                <c:formatCode>General</c:formatCode>
                <c:ptCount val="8"/>
                <c:pt idx="0">
                  <c:v>16.0</c:v>
                </c:pt>
                <c:pt idx="1">
                  <c:v>22.0</c:v>
                </c:pt>
                <c:pt idx="2">
                  <c:v>20.0</c:v>
                </c:pt>
                <c:pt idx="3">
                  <c:v>18.0</c:v>
                </c:pt>
                <c:pt idx="4">
                  <c:v>19.0</c:v>
                </c:pt>
                <c:pt idx="5">
                  <c:v>23.0</c:v>
                </c:pt>
                <c:pt idx="6">
                  <c:v>21.0</c:v>
                </c:pt>
                <c:pt idx="7">
                  <c:v>20.0</c:v>
                </c:pt>
              </c:numCache>
            </c:numRef>
          </c:val>
          <c:smooth val="0"/>
        </c:ser>
        <c:ser>
          <c:idx val="2"/>
          <c:order val="2"/>
          <c:tx>
            <c:strRef>
              <c:f>Hoja1!$K$6:$K$7</c:f>
              <c:strCache>
                <c:ptCount val="1"/>
                <c:pt idx="0">
                  <c:v>Sanchez</c:v>
                </c:pt>
              </c:strCache>
            </c:strRef>
          </c:tx>
          <c:marker>
            <c:symbol val="none"/>
          </c:marker>
          <c:dLbls>
            <c:txPr>
              <a:bodyPr/>
              <a:lstStyle/>
              <a:p>
                <a:pPr>
                  <a:defRPr b="1"/>
                </a:pPr>
                <a:endParaRPr lang="es-ES"/>
              </a:p>
            </c:txPr>
            <c:showLegendKey val="0"/>
            <c:showVal val="1"/>
            <c:showCatName val="0"/>
            <c:showSerName val="0"/>
            <c:showPercent val="0"/>
            <c:showBubbleSize val="0"/>
            <c:showLeaderLines val="0"/>
          </c:dLbls>
          <c:cat>
            <c:numRef>
              <c:f>Hoja1!$H$8:$H$15</c:f>
              <c:numCache>
                <c:formatCode>d\-mmm</c:formatCode>
                <c:ptCount val="8"/>
                <c:pt idx="0">
                  <c:v>42923.0</c:v>
                </c:pt>
                <c:pt idx="1">
                  <c:v>42944.0</c:v>
                </c:pt>
                <c:pt idx="2">
                  <c:v>42951.0</c:v>
                </c:pt>
                <c:pt idx="3">
                  <c:v>42972.0</c:v>
                </c:pt>
                <c:pt idx="4">
                  <c:v>43000.0</c:v>
                </c:pt>
                <c:pt idx="5">
                  <c:v>43009.0</c:v>
                </c:pt>
                <c:pt idx="6">
                  <c:v>43014.0</c:v>
                </c:pt>
                <c:pt idx="7">
                  <c:v>43023.0</c:v>
                </c:pt>
              </c:numCache>
            </c:numRef>
          </c:cat>
          <c:val>
            <c:numRef>
              <c:f>Hoja1!$K$8:$K$15</c:f>
              <c:numCache>
                <c:formatCode>General</c:formatCode>
                <c:ptCount val="8"/>
                <c:pt idx="0">
                  <c:v>26.0</c:v>
                </c:pt>
                <c:pt idx="1">
                  <c:v>19.0</c:v>
                </c:pt>
                <c:pt idx="2">
                  <c:v>20.0</c:v>
                </c:pt>
                <c:pt idx="3">
                  <c:v>18.0</c:v>
                </c:pt>
                <c:pt idx="4">
                  <c:v>16.0</c:v>
                </c:pt>
                <c:pt idx="5">
                  <c:v>13.0</c:v>
                </c:pt>
                <c:pt idx="6">
                  <c:v>12.0</c:v>
                </c:pt>
                <c:pt idx="7">
                  <c:v>13.0</c:v>
                </c:pt>
              </c:numCache>
            </c:numRef>
          </c:val>
          <c:smooth val="0"/>
        </c:ser>
        <c:ser>
          <c:idx val="3"/>
          <c:order val="3"/>
          <c:tx>
            <c:strRef>
              <c:f>Hoja1!$L$6:$L$7</c:f>
              <c:strCache>
                <c:ptCount val="1"/>
                <c:pt idx="0">
                  <c:v>Goic </c:v>
                </c:pt>
              </c:strCache>
            </c:strRef>
          </c:tx>
          <c:marker>
            <c:symbol val="none"/>
          </c:marker>
          <c:dLbls>
            <c:dLbl>
              <c:idx val="2"/>
              <c:layout>
                <c:manualLayout>
                  <c:x val="-0.0388888888888889"/>
                  <c:y val="-0.0274442538593482"/>
                </c:manualLayout>
              </c:layout>
              <c:showLegendKey val="0"/>
              <c:showVal val="1"/>
              <c:showCatName val="0"/>
              <c:showSerName val="0"/>
              <c:showPercent val="0"/>
              <c:showBubbleSize val="0"/>
            </c:dLbl>
            <c:dLbl>
              <c:idx val="3"/>
              <c:layout>
                <c:manualLayout>
                  <c:x val="-0.00833333333333338"/>
                  <c:y val="-0.0240137221269297"/>
                </c:manualLayout>
              </c:layout>
              <c:showLegendKey val="0"/>
              <c:showVal val="1"/>
              <c:showCatName val="0"/>
              <c:showSerName val="0"/>
              <c:showPercent val="0"/>
              <c:showBubbleSize val="0"/>
            </c:dLbl>
            <c:dLbl>
              <c:idx val="4"/>
              <c:layout>
                <c:manualLayout>
                  <c:x val="-0.00555555555555555"/>
                  <c:y val="-0.0240137221269298"/>
                </c:manualLayout>
              </c:layout>
              <c:showLegendKey val="0"/>
              <c:showVal val="1"/>
              <c:showCatName val="0"/>
              <c:showSerName val="0"/>
              <c:showPercent val="0"/>
              <c:showBubbleSize val="0"/>
            </c:dLbl>
            <c:dLbl>
              <c:idx val="5"/>
              <c:layout>
                <c:manualLayout>
                  <c:x val="-0.00277777777777778"/>
                  <c:y val="-0.0102915951972556"/>
                </c:manualLayout>
              </c:layout>
              <c:showLegendKey val="0"/>
              <c:showVal val="1"/>
              <c:showCatName val="0"/>
              <c:showSerName val="0"/>
              <c:showPercent val="0"/>
              <c:showBubbleSize val="0"/>
            </c:dLbl>
            <c:txPr>
              <a:bodyPr/>
              <a:lstStyle/>
              <a:p>
                <a:pPr>
                  <a:defRPr b="1"/>
                </a:pPr>
                <a:endParaRPr lang="es-ES"/>
              </a:p>
            </c:txPr>
            <c:showLegendKey val="0"/>
            <c:showVal val="1"/>
            <c:showCatName val="0"/>
            <c:showSerName val="0"/>
            <c:showPercent val="0"/>
            <c:showBubbleSize val="0"/>
            <c:showLeaderLines val="0"/>
          </c:dLbls>
          <c:cat>
            <c:numRef>
              <c:f>Hoja1!$H$8:$H$15</c:f>
              <c:numCache>
                <c:formatCode>d\-mmm</c:formatCode>
                <c:ptCount val="8"/>
                <c:pt idx="0">
                  <c:v>42923.0</c:v>
                </c:pt>
                <c:pt idx="1">
                  <c:v>42944.0</c:v>
                </c:pt>
                <c:pt idx="2">
                  <c:v>42951.0</c:v>
                </c:pt>
                <c:pt idx="3">
                  <c:v>42972.0</c:v>
                </c:pt>
                <c:pt idx="4">
                  <c:v>43000.0</c:v>
                </c:pt>
                <c:pt idx="5">
                  <c:v>43009.0</c:v>
                </c:pt>
                <c:pt idx="6">
                  <c:v>43014.0</c:v>
                </c:pt>
                <c:pt idx="7">
                  <c:v>43023.0</c:v>
                </c:pt>
              </c:numCache>
            </c:numRef>
          </c:cat>
          <c:val>
            <c:numRef>
              <c:f>Hoja1!$L$8:$L$15</c:f>
              <c:numCache>
                <c:formatCode>General</c:formatCode>
                <c:ptCount val="8"/>
                <c:pt idx="0">
                  <c:v>3.0</c:v>
                </c:pt>
                <c:pt idx="1">
                  <c:v>3.0</c:v>
                </c:pt>
                <c:pt idx="2">
                  <c:v>6.0</c:v>
                </c:pt>
                <c:pt idx="3">
                  <c:v>5.0</c:v>
                </c:pt>
                <c:pt idx="4">
                  <c:v>4.0</c:v>
                </c:pt>
                <c:pt idx="5">
                  <c:v>4.0</c:v>
                </c:pt>
                <c:pt idx="6">
                  <c:v>3.0</c:v>
                </c:pt>
                <c:pt idx="7">
                  <c:v>4.0</c:v>
                </c:pt>
              </c:numCache>
            </c:numRef>
          </c:val>
          <c:smooth val="0"/>
        </c:ser>
        <c:dLbls>
          <c:showLegendKey val="0"/>
          <c:showVal val="1"/>
          <c:showCatName val="0"/>
          <c:showSerName val="0"/>
          <c:showPercent val="0"/>
          <c:showBubbleSize val="0"/>
        </c:dLbls>
        <c:marker val="1"/>
        <c:smooth val="0"/>
        <c:axId val="2049428664"/>
        <c:axId val="2049431672"/>
      </c:lineChart>
      <c:dateAx>
        <c:axId val="2049428664"/>
        <c:scaling>
          <c:orientation val="minMax"/>
        </c:scaling>
        <c:delete val="0"/>
        <c:axPos val="b"/>
        <c:numFmt formatCode="d\-mmm" sourceLinked="1"/>
        <c:majorTickMark val="out"/>
        <c:minorTickMark val="none"/>
        <c:tickLblPos val="nextTo"/>
        <c:txPr>
          <a:bodyPr/>
          <a:lstStyle/>
          <a:p>
            <a:pPr>
              <a:defRPr sz="900"/>
            </a:pPr>
            <a:endParaRPr lang="es-ES"/>
          </a:p>
        </c:txPr>
        <c:crossAx val="2049431672"/>
        <c:crosses val="autoZero"/>
        <c:auto val="1"/>
        <c:lblOffset val="100"/>
        <c:baseTimeUnit val="days"/>
      </c:dateAx>
      <c:valAx>
        <c:axId val="2049431672"/>
        <c:scaling>
          <c:orientation val="minMax"/>
        </c:scaling>
        <c:delete val="0"/>
        <c:axPos val="l"/>
        <c:majorGridlines/>
        <c:numFmt formatCode="General" sourceLinked="1"/>
        <c:majorTickMark val="out"/>
        <c:minorTickMark val="none"/>
        <c:tickLblPos val="nextTo"/>
        <c:crossAx val="2049428664"/>
        <c:crosses val="autoZero"/>
        <c:crossBetween val="between"/>
      </c:valAx>
      <c:spPr>
        <a:solidFill>
          <a:schemeClr val="bg2"/>
        </a:solidFill>
      </c:spPr>
    </c:plotArea>
    <c:legend>
      <c:legendPos val="r"/>
      <c:layout>
        <c:manualLayout>
          <c:xMode val="edge"/>
          <c:yMode val="edge"/>
          <c:x val="0.813758748906387"/>
          <c:y val="0.362209856701017"/>
          <c:w val="0.164019028871391"/>
          <c:h val="0.275580286597966"/>
        </c:manualLayout>
      </c:layout>
      <c:overlay val="0"/>
      <c:txPr>
        <a:bodyPr/>
        <a:lstStyle/>
        <a:p>
          <a:pPr>
            <a:defRPr sz="900" b="1"/>
          </a:pPr>
          <a:endParaRPr lang="es-ES"/>
        </a:p>
      </c:txPr>
    </c:legend>
    <c:plotVisOnly val="1"/>
    <c:dispBlanksAs val="gap"/>
    <c:showDLblsOverMax val="0"/>
  </c:chart>
  <c:spPr>
    <a:solidFill>
      <a:schemeClr val="accent3">
        <a:lumMod val="20000"/>
        <a:lumOff val="80000"/>
      </a:schemeClr>
    </a:solid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1983</Words>
  <Characters>10912</Characters>
  <Application>Microsoft Macintosh Word</Application>
  <DocSecurity>0</DocSecurity>
  <Lines>90</Lines>
  <Paragraphs>25</Paragraphs>
  <ScaleCrop>false</ScaleCrop>
  <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15</cp:revision>
  <dcterms:created xsi:type="dcterms:W3CDTF">2017-10-12T22:35:00Z</dcterms:created>
  <dcterms:modified xsi:type="dcterms:W3CDTF">2017-10-15T14:47:00Z</dcterms:modified>
</cp:coreProperties>
</file>