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9001" w14:textId="4CCE5F6A" w:rsidR="00DE0460" w:rsidRDefault="00DE0460" w:rsidP="00F92EB9">
      <w:pPr>
        <w:pStyle w:val="Ttulo"/>
        <w:rPr>
          <w:b/>
          <w:sz w:val="44"/>
          <w:szCs w:val="44"/>
        </w:rPr>
      </w:pPr>
      <w:r>
        <w:rPr>
          <w:b/>
          <w:sz w:val="44"/>
          <w:szCs w:val="44"/>
        </w:rPr>
        <w:t>La glosa de gratuidad universitaria 2018.</w:t>
      </w:r>
    </w:p>
    <w:p w14:paraId="6C28C2F4" w14:textId="724F394F" w:rsidR="00346E2B" w:rsidRPr="00DE0460" w:rsidRDefault="00B0314A" w:rsidP="00F92EB9">
      <w:pPr>
        <w:pStyle w:val="Ttulo"/>
        <w:rPr>
          <w:b/>
          <w:sz w:val="24"/>
          <w:szCs w:val="24"/>
        </w:rPr>
      </w:pPr>
      <w:r>
        <w:rPr>
          <w:b/>
          <w:sz w:val="24"/>
          <w:szCs w:val="24"/>
        </w:rPr>
        <w:t>El impacto de la gratuidad al</w:t>
      </w:r>
      <w:r w:rsidR="00C47C71" w:rsidRPr="00DE0460">
        <w:rPr>
          <w:b/>
          <w:sz w:val="24"/>
          <w:szCs w:val="24"/>
        </w:rPr>
        <w:t xml:space="preserve"> </w:t>
      </w:r>
      <w:r w:rsidR="00346E2B" w:rsidRPr="00DE0460">
        <w:rPr>
          <w:b/>
          <w:sz w:val="24"/>
          <w:szCs w:val="24"/>
        </w:rPr>
        <w:t>6 decil</w:t>
      </w:r>
      <w:r>
        <w:rPr>
          <w:b/>
          <w:sz w:val="24"/>
          <w:szCs w:val="24"/>
        </w:rPr>
        <w:t xml:space="preserve"> </w:t>
      </w:r>
      <w:r w:rsidR="00DE0460">
        <w:rPr>
          <w:b/>
          <w:sz w:val="24"/>
          <w:szCs w:val="24"/>
        </w:rPr>
        <w:t>en el</w:t>
      </w:r>
      <w:r w:rsidR="00346E2B" w:rsidRPr="00DE0460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>.</w:t>
      </w:r>
    </w:p>
    <w:p w14:paraId="5157BA81" w14:textId="23AED8C6" w:rsidR="00F92EB9" w:rsidRPr="00F92EB9" w:rsidRDefault="00F92EB9" w:rsidP="00346E2B">
      <w:pPr>
        <w:rPr>
          <w:b/>
        </w:rPr>
      </w:pPr>
      <w:r w:rsidRPr="00F92EB9">
        <w:rPr>
          <w:b/>
        </w:rPr>
        <w:t>El contexto y escenario del debate</w:t>
      </w:r>
    </w:p>
    <w:p w14:paraId="2D9AB8C3" w14:textId="77777777" w:rsidR="00F92EB9" w:rsidRDefault="00F92EB9" w:rsidP="00346E2B"/>
    <w:p w14:paraId="25F8091A" w14:textId="6EAFC1D6" w:rsidR="00E576F1" w:rsidRDefault="004C3A73" w:rsidP="00FB2871">
      <w:pPr>
        <w:jc w:val="both"/>
      </w:pPr>
      <w:r>
        <w:t>El Gobierno decidió impulsar el avance de la gratuidad hasta el 6 decil de estudiantes de familias vulnerables para el 2018. Esta decisión pasa por la aprobacion de la glosa de gratuidad incorporada en la ley de Presupuesto en u</w:t>
      </w:r>
      <w:r w:rsidR="00DE0460">
        <w:t>n dificultoso escenario legislativo por la coyuntura electoral</w:t>
      </w:r>
      <w:r w:rsidR="0039640D">
        <w:t xml:space="preserve"> </w:t>
      </w:r>
      <w:r w:rsidR="00E576F1">
        <w:t xml:space="preserve">por la posiciòn de Chile Vamos , direccionada por Piñera de dejar la gratuidad </w:t>
      </w:r>
      <w:r w:rsidR="00DE0460">
        <w:t>e</w:t>
      </w:r>
      <w:r w:rsidR="0039640D">
        <w:t>stancada e</w:t>
      </w:r>
      <w:r w:rsidR="00DE0460">
        <w:t>n el 5 decil y no avanzar mas :</w:t>
      </w:r>
      <w:r w:rsidR="00E576F1">
        <w:t xml:space="preserve"> ChileVamo</w:t>
      </w:r>
      <w:r w:rsidR="00DE0460">
        <w:t xml:space="preserve">s votó alineado en contra del avance de la gratuidad al 6 decil </w:t>
      </w:r>
      <w:r w:rsidR="00E576F1">
        <w:t>el debate del proyecto de Ley de Reforma de la educación superior. En la coyuntura preeleccionaria</w:t>
      </w:r>
      <w:r w:rsidR="00F92EB9">
        <w:t>, la extensión de la gratuidad al 6 decil va implicar un debate complejo y una negociación para que la oposicion acepte avanzar en esa línea.</w:t>
      </w:r>
    </w:p>
    <w:p w14:paraId="195FD8AC" w14:textId="77777777" w:rsidR="00316CA6" w:rsidRDefault="00316CA6" w:rsidP="00FB2871">
      <w:pPr>
        <w:jc w:val="both"/>
      </w:pPr>
    </w:p>
    <w:p w14:paraId="0D080CA3" w14:textId="0E59E82B" w:rsidR="00316CA6" w:rsidRDefault="00316CA6" w:rsidP="00FB2871">
      <w:pPr>
        <w:jc w:val="both"/>
        <w:rPr>
          <w:b/>
        </w:rPr>
      </w:pPr>
      <w:r w:rsidRPr="00316CA6">
        <w:rPr>
          <w:b/>
        </w:rPr>
        <w:t>El avance de la gratuidad universitaria</w:t>
      </w:r>
      <w:r>
        <w:rPr>
          <w:b/>
        </w:rPr>
        <w:t>.-</w:t>
      </w:r>
    </w:p>
    <w:p w14:paraId="0DE1111B" w14:textId="77777777" w:rsidR="00316CA6" w:rsidRPr="00316CA6" w:rsidRDefault="00316CA6" w:rsidP="00FB2871">
      <w:pPr>
        <w:jc w:val="both"/>
        <w:rPr>
          <w:b/>
        </w:rPr>
      </w:pPr>
    </w:p>
    <w:p w14:paraId="70EAB193" w14:textId="270A58A7" w:rsidR="00FA5B20" w:rsidRDefault="00316CA6" w:rsidP="00FB2871">
      <w:pPr>
        <w:jc w:val="both"/>
      </w:pPr>
      <w:r>
        <w:t>En dos años de funcionamiento de</w:t>
      </w:r>
      <w:r w:rsidR="0039640D">
        <w:t xml:space="preserve"> la gratuidad universitaria , del 2016 al 2017, ha alcanzado</w:t>
      </w:r>
      <w:r>
        <w:t xml:space="preserve"> una cobertura de 261.141 estudiantes universitarios ( </w:t>
      </w:r>
      <w:r w:rsidR="00DE0460">
        <w:t xml:space="preserve">el </w:t>
      </w:r>
      <w:r>
        <w:t>24% del estudiantado de universidades y centros de educación superior</w:t>
      </w:r>
      <w:r w:rsidR="00DE0460">
        <w:t xml:space="preserve"> al 2017 </w:t>
      </w:r>
      <w:r>
        <w:t xml:space="preserve">). </w:t>
      </w:r>
      <w:r w:rsidR="00DE0460">
        <w:t xml:space="preserve">De este total, un </w:t>
      </w:r>
      <w:r>
        <w:t xml:space="preserve"> 64.4% de los estudiantes con gratuidad provienen de las </w:t>
      </w:r>
      <w:r w:rsidR="00FA5B20">
        <w:t>30 universidades inscritas e incorporada en la gratuidad y el 35,6% de 6 CFT y 6 Institutos Profesionales.</w:t>
      </w:r>
    </w:p>
    <w:p w14:paraId="544B7FA9" w14:textId="76AB4EC2" w:rsidR="00316CA6" w:rsidRDefault="00FA5B20" w:rsidP="00FB2871">
      <w:pPr>
        <w:jc w:val="both"/>
      </w:pPr>
      <w:r>
        <w:t xml:space="preserve"> </w:t>
      </w:r>
    </w:p>
    <w:p w14:paraId="2AECBD60" w14:textId="24F95A25" w:rsidR="00FA5B20" w:rsidRDefault="00FA5B20" w:rsidP="00FB2871">
      <w:pPr>
        <w:jc w:val="both"/>
        <w:rPr>
          <w:b/>
          <w:sz w:val="22"/>
          <w:szCs w:val="22"/>
        </w:rPr>
      </w:pPr>
      <w:r w:rsidRPr="00FA5B20">
        <w:rPr>
          <w:b/>
          <w:sz w:val="22"/>
          <w:szCs w:val="22"/>
        </w:rPr>
        <w:t>Grafico 1 : Cobertura institucional gratuidad universitaria 2017</w:t>
      </w:r>
    </w:p>
    <w:p w14:paraId="0D04060D" w14:textId="77777777" w:rsidR="00FA5B20" w:rsidRPr="00FA5B20" w:rsidRDefault="00FA5B20" w:rsidP="00FB2871">
      <w:pPr>
        <w:jc w:val="both"/>
        <w:rPr>
          <w:b/>
          <w:sz w:val="22"/>
          <w:szCs w:val="22"/>
        </w:rPr>
      </w:pPr>
    </w:p>
    <w:p w14:paraId="5729CB43" w14:textId="7398D72D" w:rsidR="00FA5B20" w:rsidRDefault="00FA5B20" w:rsidP="00FB2871">
      <w:pPr>
        <w:jc w:val="both"/>
      </w:pPr>
      <w:r>
        <w:rPr>
          <w:noProof/>
          <w:lang w:val="es-ES"/>
        </w:rPr>
        <w:drawing>
          <wp:inline distT="0" distB="0" distL="0" distR="0" wp14:anchorId="4983CE3C" wp14:editId="20B82F33">
            <wp:extent cx="5596890" cy="1996652"/>
            <wp:effectExtent l="0" t="0" r="16510" b="3556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67BCCD" w14:textId="6E68D492" w:rsidR="00FA5B20" w:rsidRPr="00FA5B20" w:rsidRDefault="00FA5B20" w:rsidP="00FB28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Elaborado en base a CNED/Tendencias Informe Educacion Superior/Junio 2017.</w:t>
      </w:r>
    </w:p>
    <w:p w14:paraId="1BC30128" w14:textId="77777777" w:rsidR="00FA5B20" w:rsidRDefault="00FA5B20" w:rsidP="00FB2871">
      <w:pPr>
        <w:jc w:val="both"/>
      </w:pPr>
    </w:p>
    <w:p w14:paraId="1317607D" w14:textId="52F7D0CA" w:rsidR="004C3A73" w:rsidRDefault="00393E8A" w:rsidP="00F92EB9">
      <w:pPr>
        <w:jc w:val="both"/>
      </w:pPr>
      <w:r>
        <w:t xml:space="preserve">La presión por incorporar a los CFT e IP a la gratuidad con menores </w:t>
      </w:r>
      <w:r w:rsidR="0044622B">
        <w:t xml:space="preserve">exigencias de acreditación se generó en la discusión de la glosa de gratuidad del 2017.Ahora con la discusion de la glosa de gratuidad 2018, con la invocación de la “ reserva de consttucionalidad” por senadores de Chile Vamos nuevamente se vá a desarrollar una negociación en linea similar </w:t>
      </w:r>
      <w:r w:rsidR="0039640D">
        <w:t>,</w:t>
      </w:r>
      <w:r w:rsidR="0044622B">
        <w:t xml:space="preserve">para extender beneficios compensatorios a IP y CFT de </w:t>
      </w:r>
      <w:r w:rsidR="00DE0460">
        <w:lastRenderedPageBreak/>
        <w:t>menor calidad acadé</w:t>
      </w:r>
      <w:r w:rsidR="0044622B">
        <w:t>mica, bajo el argumento de la no discriminación y de la mayor vulnerabilidad de los estudiantes de los IP y CFT.</w:t>
      </w:r>
    </w:p>
    <w:p w14:paraId="57E85B34" w14:textId="77777777" w:rsidR="00DE0460" w:rsidRDefault="00DE0460" w:rsidP="00F92EB9">
      <w:pPr>
        <w:jc w:val="both"/>
      </w:pPr>
    </w:p>
    <w:p w14:paraId="7ECF1024" w14:textId="0CFC7ED4" w:rsidR="004C3A73" w:rsidRDefault="004C3A73" w:rsidP="00346E2B">
      <w:pPr>
        <w:rPr>
          <w:b/>
        </w:rPr>
      </w:pPr>
      <w:r w:rsidRPr="009933CB">
        <w:rPr>
          <w:b/>
        </w:rPr>
        <w:t>La glosa de la gratuidad universitaria 2018.</w:t>
      </w:r>
    </w:p>
    <w:p w14:paraId="33C46614" w14:textId="77777777" w:rsidR="009933CB" w:rsidRDefault="009933CB" w:rsidP="00346E2B">
      <w:pPr>
        <w:rPr>
          <w:b/>
        </w:rPr>
      </w:pPr>
    </w:p>
    <w:p w14:paraId="60FD91F1" w14:textId="34217D1C" w:rsidR="00DE0460" w:rsidRDefault="009933CB" w:rsidP="00FB2871">
      <w:pPr>
        <w:jc w:val="both"/>
      </w:pPr>
      <w:r>
        <w:t>El presupuesto del ministerio de Educacion 2018</w:t>
      </w:r>
      <w:r w:rsidR="0039640D">
        <w:t xml:space="preserve">, con </w:t>
      </w:r>
      <w:r>
        <w:t>un monto asignado de</w:t>
      </w:r>
      <w:r w:rsidR="00FB2871">
        <w:t xml:space="preserve"> $ 10.370.751 </w:t>
      </w:r>
      <w:r w:rsidR="0039640D">
        <w:t>millones de pesos, constituye</w:t>
      </w:r>
      <w:r w:rsidR="00FB2871">
        <w:t xml:space="preserve"> la mayor asignacion presupuestaria del conjunto de sectores y ministerios del Gobierno </w:t>
      </w:r>
      <w:r w:rsidR="00DE0460">
        <w:t xml:space="preserve">, </w:t>
      </w:r>
      <w:r w:rsidR="00FB2871">
        <w:t xml:space="preserve">con un crecimiento  del gasto de un 5.9% . </w:t>
      </w:r>
    </w:p>
    <w:p w14:paraId="4D9900A2" w14:textId="77777777" w:rsidR="00DE0460" w:rsidRDefault="00DE0460" w:rsidP="00FB2871">
      <w:pPr>
        <w:jc w:val="both"/>
      </w:pPr>
    </w:p>
    <w:p w14:paraId="108CE011" w14:textId="7AD4B7B8" w:rsidR="009933CB" w:rsidRDefault="00FB2871" w:rsidP="00FB2871">
      <w:pPr>
        <w:jc w:val="both"/>
        <w:rPr>
          <w:i/>
          <w:sz w:val="22"/>
          <w:szCs w:val="22"/>
        </w:rPr>
      </w:pPr>
      <w:r>
        <w:t xml:space="preserve">En ese mayor gasto, se encuentra el financiamiento de la gratuidad del 6 decil para los estudiantes de familias vulnerables de las 44 Instituciones de Educacion Superior que están participando en la gratuidad: </w:t>
      </w:r>
      <w:r w:rsidRPr="0039640D">
        <w:rPr>
          <w:b/>
        </w:rPr>
        <w:t>222.849 milllones de pesos es el mayor gasto para financiar la gratuidad de los cerca de 100 mil nuevos estudiantes</w:t>
      </w:r>
      <w:r>
        <w:t xml:space="preserve"> que serán beneficiados con la gratuidad el próximo año.</w:t>
      </w:r>
      <w:r w:rsidR="00D45823">
        <w:t xml:space="preserve"> </w:t>
      </w:r>
      <w:r>
        <w:t>(</w:t>
      </w:r>
      <w:r w:rsidRPr="00D45823">
        <w:rPr>
          <w:i/>
          <w:sz w:val="22"/>
          <w:szCs w:val="22"/>
        </w:rPr>
        <w:t xml:space="preserve">Fuente Dipres/Informe </w:t>
      </w:r>
      <w:r w:rsidR="00D45823" w:rsidRPr="00D45823">
        <w:rPr>
          <w:i/>
          <w:sz w:val="22"/>
          <w:szCs w:val="22"/>
        </w:rPr>
        <w:t xml:space="preserve">de </w:t>
      </w:r>
      <w:r w:rsidRPr="00D45823">
        <w:rPr>
          <w:i/>
          <w:sz w:val="22"/>
          <w:szCs w:val="22"/>
        </w:rPr>
        <w:t>Finanzas Públicas</w:t>
      </w:r>
      <w:r w:rsidR="00D45823" w:rsidRPr="00D45823">
        <w:rPr>
          <w:i/>
          <w:sz w:val="22"/>
          <w:szCs w:val="22"/>
        </w:rPr>
        <w:t>/Proyecto de Ley de Presupuestos del sector público para el año 2018)</w:t>
      </w:r>
      <w:r w:rsidR="00D45823">
        <w:rPr>
          <w:i/>
          <w:sz w:val="22"/>
          <w:szCs w:val="22"/>
        </w:rPr>
        <w:t>.</w:t>
      </w:r>
    </w:p>
    <w:p w14:paraId="5804263A" w14:textId="77777777" w:rsidR="00D45823" w:rsidRDefault="00D45823" w:rsidP="00FB2871">
      <w:pPr>
        <w:jc w:val="both"/>
        <w:rPr>
          <w:i/>
          <w:sz w:val="22"/>
          <w:szCs w:val="22"/>
        </w:rPr>
      </w:pPr>
    </w:p>
    <w:p w14:paraId="30E52293" w14:textId="10A34764" w:rsidR="00D45823" w:rsidRDefault="00DE0460" w:rsidP="00FB2871">
      <w:pPr>
        <w:jc w:val="both"/>
      </w:pPr>
      <w:r>
        <w:t>Hay que tener en consideración</w:t>
      </w:r>
      <w:r w:rsidR="0039640D">
        <w:t>, en todo caso,</w:t>
      </w:r>
      <w:r>
        <w:t xml:space="preserve"> que el</w:t>
      </w:r>
      <w:r w:rsidR="00D45823">
        <w:t xml:space="preserve"> financiamiento de la carrera docente duplica el mayor gasto comprometido que la gratuidad del 6 decil para el 2018 : la carrera docente del 2018 tiene asignado de 481.047 millones de pesos con</w:t>
      </w:r>
      <w:r>
        <w:t xml:space="preserve"> un aumento de un 69% en relació</w:t>
      </w:r>
      <w:r w:rsidR="00D45823">
        <w:t>n al año anterior mientras que la cobertura de la gratuidad universitaria al 6 decil de estudiantes de familias vulnerables implica los 222.849 millones con un</w:t>
      </w:r>
      <w:r w:rsidR="008F7BD0">
        <w:t xml:space="preserve"> aumento de un 29.4% .</w:t>
      </w:r>
      <w:r>
        <w:t xml:space="preserve"> </w:t>
      </w:r>
    </w:p>
    <w:p w14:paraId="03F4C32C" w14:textId="77777777" w:rsidR="0044622B" w:rsidRDefault="0044622B" w:rsidP="00FB2871">
      <w:pPr>
        <w:jc w:val="both"/>
      </w:pPr>
    </w:p>
    <w:p w14:paraId="5FF0284E" w14:textId="33707314" w:rsidR="0044622B" w:rsidRDefault="008F7BD0" w:rsidP="00FB2871">
      <w:pPr>
        <w:jc w:val="both"/>
        <w:rPr>
          <w:b/>
        </w:rPr>
      </w:pPr>
      <w:r>
        <w:rPr>
          <w:b/>
        </w:rPr>
        <w:t>La proyecció</w:t>
      </w:r>
      <w:r w:rsidR="0044622B" w:rsidRPr="0044622B">
        <w:rPr>
          <w:b/>
        </w:rPr>
        <w:t>n de la gratuidad al 6 decil</w:t>
      </w:r>
      <w:r>
        <w:rPr>
          <w:b/>
        </w:rPr>
        <w:t>.</w:t>
      </w:r>
    </w:p>
    <w:p w14:paraId="414C87B9" w14:textId="77777777" w:rsidR="0044622B" w:rsidRDefault="0044622B" w:rsidP="00FB2871">
      <w:pPr>
        <w:jc w:val="both"/>
        <w:rPr>
          <w:b/>
        </w:rPr>
      </w:pPr>
    </w:p>
    <w:p w14:paraId="515ECF61" w14:textId="4D8E56FA" w:rsidR="00DE0460" w:rsidRDefault="0044622B" w:rsidP="00FB2871">
      <w:pPr>
        <w:jc w:val="both"/>
      </w:pPr>
      <w:r>
        <w:t xml:space="preserve"> </w:t>
      </w:r>
      <w:r w:rsidR="008F7BD0">
        <w:t>L</w:t>
      </w:r>
      <w:r w:rsidR="0039640D">
        <w:t xml:space="preserve">a meta inicial del Gobierno aspiraba a </w:t>
      </w:r>
      <w:r w:rsidR="008F7BD0">
        <w:t>logra</w:t>
      </w:r>
      <w:r w:rsidR="0039640D">
        <w:t>r</w:t>
      </w:r>
      <w:r w:rsidR="008F7BD0">
        <w:t xml:space="preserve"> la cobertura total</w:t>
      </w:r>
      <w:r w:rsidR="0039640D">
        <w:t xml:space="preserve"> hasta el 7 decil en los 4 años de Gobierno.</w:t>
      </w:r>
      <w:r w:rsidR="008F7BD0">
        <w:t xml:space="preserve"> Sin embargo, los retrasos en la tramitación de la reforma unido la reasignacion de recursos presupuestarios dentro de la reforma educacional ( como el </w:t>
      </w:r>
      <w:r w:rsidR="00DE0460">
        <w:t xml:space="preserve">mayor gasto </w:t>
      </w:r>
      <w:r w:rsidR="008F7BD0">
        <w:t>de la carrera docente) se conjugaron para acotar la meta de los 4 años en el 5 decil y dejar para el primer año del proximo gobierno, el avance hasta el 6 decil. La viabilidad polìt</w:t>
      </w:r>
      <w:r w:rsidR="00DE0460">
        <w:t>ica y presupuestaria de extender</w:t>
      </w:r>
      <w:r w:rsidR="008F7BD0">
        <w:t xml:space="preserve"> la gratuidad hasta el 7 d</w:t>
      </w:r>
      <w:r w:rsidR="00DE0460">
        <w:t>ecil</w:t>
      </w:r>
      <w:r w:rsidR="0039640D">
        <w:t xml:space="preserve"> queda en un escenario de incertidumbre en dependencia del cambio de Gobierno y la gratuidad universal,</w:t>
      </w:r>
      <w:r w:rsidR="00DE0460">
        <w:t xml:space="preserve">queda definitivamente como aspiración </w:t>
      </w:r>
      <w:r w:rsidR="0039640D">
        <w:t>inviable.</w:t>
      </w:r>
    </w:p>
    <w:p w14:paraId="1421D8CE" w14:textId="77777777" w:rsidR="00DE0460" w:rsidRDefault="00DE0460" w:rsidP="00FB2871">
      <w:pPr>
        <w:jc w:val="both"/>
      </w:pPr>
    </w:p>
    <w:p w14:paraId="57B0722B" w14:textId="51CE74AD" w:rsidR="00DE0460" w:rsidRDefault="008F7BD0" w:rsidP="00FB2871">
      <w:pPr>
        <w:jc w:val="both"/>
      </w:pPr>
      <w:r>
        <w:t xml:space="preserve">La cobertura universitaria hasta el 6 decil , estimada por el Gobierno </w:t>
      </w:r>
    </w:p>
    <w:p w14:paraId="0F3C4CA7" w14:textId="173B632A" w:rsidR="00F92EB9" w:rsidRDefault="00DE0460" w:rsidP="00FB2871">
      <w:pPr>
        <w:jc w:val="both"/>
      </w:pPr>
      <w:r>
        <w:t xml:space="preserve">entre los </w:t>
      </w:r>
      <w:r w:rsidR="008F7BD0">
        <w:t xml:space="preserve"> 350 mil</w:t>
      </w:r>
      <w:r w:rsidR="00F92EB9">
        <w:t xml:space="preserve"> a 380 mil estudiantes</w:t>
      </w:r>
      <w:r w:rsidR="0039640D">
        <w:t xml:space="preserve"> para el 2018</w:t>
      </w:r>
      <w:r w:rsidR="00F92EB9">
        <w:t>, la hemo</w:t>
      </w:r>
      <w:r w:rsidR="008F7BD0">
        <w:t>s ajustado en base al  crecimiento tendencial de la gratuidad</w:t>
      </w:r>
      <w:r>
        <w:t xml:space="preserve"> en estos </w:t>
      </w:r>
      <w:r w:rsidR="0039640D">
        <w:t xml:space="preserve">dos </w:t>
      </w:r>
      <w:r>
        <w:t xml:space="preserve">años </w:t>
      </w:r>
      <w:r w:rsidR="0039640D">
        <w:t>, con una proyección incial de</w:t>
      </w:r>
      <w:r>
        <w:t xml:space="preserve"> la incorporació</w:t>
      </w:r>
      <w:r w:rsidR="0039640D">
        <w:t>n de 11</w:t>
      </w:r>
      <w:r w:rsidR="008F7BD0">
        <w:t>0 mil nuevos estudiantes a la gratuidad , lo que implicaría una cobertura total de</w:t>
      </w:r>
      <w:r w:rsidR="0039640D">
        <w:t xml:space="preserve"> la gratuidad para el 2018 en 36</w:t>
      </w:r>
      <w:r w:rsidR="008F7BD0">
        <w:t>2 mil estudiantes</w:t>
      </w:r>
      <w:r>
        <w:t xml:space="preserve"> ( cif</w:t>
      </w:r>
      <w:r w:rsidR="0039640D">
        <w:t>ra dentro del promedio es</w:t>
      </w:r>
      <w:r>
        <w:t>timado por el Mineduc.) y que dependerá del proceso de postulación a la gratuidad en curso incluyendo la apelación de mediados de año.</w:t>
      </w:r>
      <w:r w:rsidR="008F7BD0">
        <w:t xml:space="preserve"> </w:t>
      </w:r>
    </w:p>
    <w:p w14:paraId="175551CD" w14:textId="77777777" w:rsidR="00F92EB9" w:rsidRDefault="00F92EB9" w:rsidP="00FB2871">
      <w:pPr>
        <w:jc w:val="both"/>
        <w:rPr>
          <w:sz w:val="22"/>
          <w:szCs w:val="22"/>
        </w:rPr>
      </w:pPr>
    </w:p>
    <w:p w14:paraId="71870D02" w14:textId="77777777" w:rsidR="00DE0460" w:rsidRDefault="00DE0460" w:rsidP="00FB2871">
      <w:pPr>
        <w:jc w:val="both"/>
        <w:rPr>
          <w:sz w:val="22"/>
          <w:szCs w:val="22"/>
        </w:rPr>
      </w:pPr>
    </w:p>
    <w:p w14:paraId="448FF634" w14:textId="77777777" w:rsidR="00DE0460" w:rsidRDefault="00DE0460" w:rsidP="00FB2871">
      <w:pPr>
        <w:jc w:val="both"/>
        <w:rPr>
          <w:sz w:val="22"/>
          <w:szCs w:val="22"/>
        </w:rPr>
      </w:pPr>
    </w:p>
    <w:p w14:paraId="648C3B38" w14:textId="77777777" w:rsidR="002135C4" w:rsidRDefault="002135C4" w:rsidP="00FB2871">
      <w:pPr>
        <w:jc w:val="both"/>
        <w:rPr>
          <w:sz w:val="22"/>
          <w:szCs w:val="22"/>
        </w:rPr>
      </w:pPr>
    </w:p>
    <w:p w14:paraId="7FAC9D29" w14:textId="411D1EDC" w:rsidR="00DE0460" w:rsidRDefault="008F7BD0" w:rsidP="00FB2871">
      <w:pPr>
        <w:jc w:val="both"/>
        <w:rPr>
          <w:b/>
          <w:sz w:val="22"/>
          <w:szCs w:val="22"/>
        </w:rPr>
      </w:pPr>
      <w:r w:rsidRPr="00F92EB9">
        <w:rPr>
          <w:b/>
          <w:sz w:val="22"/>
          <w:szCs w:val="22"/>
        </w:rPr>
        <w:t xml:space="preserve">Grafico 2 Proyeccion </w:t>
      </w:r>
      <w:r w:rsidR="0039640D">
        <w:rPr>
          <w:b/>
          <w:sz w:val="22"/>
          <w:szCs w:val="22"/>
        </w:rPr>
        <w:t xml:space="preserve">estimada </w:t>
      </w:r>
      <w:r w:rsidRPr="00F92EB9">
        <w:rPr>
          <w:b/>
          <w:sz w:val="22"/>
          <w:szCs w:val="22"/>
        </w:rPr>
        <w:t>de la cobertura de gratuidad al 6 decil 2018</w:t>
      </w:r>
    </w:p>
    <w:p w14:paraId="5C580D1C" w14:textId="77777777" w:rsidR="0039640D" w:rsidRPr="00F92EB9" w:rsidRDefault="0039640D" w:rsidP="00FB2871">
      <w:pPr>
        <w:jc w:val="both"/>
        <w:rPr>
          <w:b/>
          <w:sz w:val="22"/>
          <w:szCs w:val="22"/>
        </w:rPr>
      </w:pPr>
    </w:p>
    <w:p w14:paraId="2BD34F54" w14:textId="32021BAE" w:rsidR="00D45823" w:rsidRPr="00316CA6" w:rsidRDefault="0044622B" w:rsidP="00FB2871">
      <w:pPr>
        <w:jc w:val="both"/>
        <w:rPr>
          <w:b/>
        </w:rPr>
      </w:pPr>
      <w:r>
        <w:rPr>
          <w:noProof/>
          <w:lang w:val="es-ES"/>
        </w:rPr>
        <w:drawing>
          <wp:inline distT="0" distB="0" distL="0" distR="0" wp14:anchorId="15ECBC0E" wp14:editId="1DFFD166">
            <wp:extent cx="5596890" cy="2081742"/>
            <wp:effectExtent l="0" t="0" r="16510" b="266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BF2F8A" w14:textId="32DF2B51" w:rsidR="0044622B" w:rsidRDefault="0044622B" w:rsidP="0044622B">
      <w:pPr>
        <w:rPr>
          <w:i/>
          <w:sz w:val="22"/>
          <w:szCs w:val="22"/>
        </w:rPr>
      </w:pPr>
      <w:r>
        <w:rPr>
          <w:i/>
          <w:sz w:val="22"/>
          <w:szCs w:val="22"/>
        </w:rPr>
        <w:t>Elaborado en base a CNED Tendencias 2017 y proyeccion propia estimada</w:t>
      </w:r>
      <w:r w:rsidR="008F7BD0">
        <w:rPr>
          <w:i/>
          <w:sz w:val="22"/>
          <w:szCs w:val="22"/>
        </w:rPr>
        <w:t xml:space="preserve"> fuente Mineduc</w:t>
      </w:r>
      <w:r>
        <w:rPr>
          <w:i/>
          <w:sz w:val="22"/>
          <w:szCs w:val="22"/>
        </w:rPr>
        <w:t xml:space="preserve"> 2018 .</w:t>
      </w:r>
    </w:p>
    <w:p w14:paraId="3F2FE29D" w14:textId="77777777" w:rsidR="00F92EB9" w:rsidRDefault="00F92EB9" w:rsidP="00346E2B">
      <w:pPr>
        <w:rPr>
          <w:b/>
        </w:rPr>
      </w:pPr>
    </w:p>
    <w:p w14:paraId="6F25C4FE" w14:textId="4738E552" w:rsidR="004C3A73" w:rsidRDefault="008F7BD0" w:rsidP="00346E2B">
      <w:pPr>
        <w:rPr>
          <w:b/>
        </w:rPr>
      </w:pPr>
      <w:r w:rsidRPr="008F7BD0">
        <w:rPr>
          <w:b/>
        </w:rPr>
        <w:t xml:space="preserve">El impacto de </w:t>
      </w:r>
      <w:r>
        <w:rPr>
          <w:b/>
        </w:rPr>
        <w:t>la gratuidad universitaria 2018.</w:t>
      </w:r>
    </w:p>
    <w:p w14:paraId="2655DE2B" w14:textId="77777777" w:rsidR="008F7BD0" w:rsidRDefault="008F7BD0" w:rsidP="00E576F1">
      <w:pPr>
        <w:jc w:val="both"/>
        <w:rPr>
          <w:b/>
        </w:rPr>
      </w:pPr>
    </w:p>
    <w:p w14:paraId="6CC2627D" w14:textId="5EB2835C" w:rsidR="008F7BD0" w:rsidRPr="008F7BD0" w:rsidRDefault="008F7BD0" w:rsidP="00E576F1">
      <w:pPr>
        <w:jc w:val="both"/>
      </w:pPr>
      <w:r>
        <w:t>La cobertura de 362 mil estudiantes con gratuidad universitaria significa el 31% del del estudiantado universitario.</w:t>
      </w:r>
      <w:r w:rsidR="00E576F1">
        <w:t xml:space="preserve"> </w:t>
      </w:r>
      <w:r w:rsidR="0039640D">
        <w:t xml:space="preserve">Esto signiofica que </w:t>
      </w:r>
      <w:r w:rsidR="00E576F1">
        <w:t xml:space="preserve"> el 69% de los estudiantes, es dec</w:t>
      </w:r>
      <w:r w:rsidR="00DE0460">
        <w:t xml:space="preserve">ir 800 mil estudiantes continuarán </w:t>
      </w:r>
      <w:r w:rsidR="00E576F1">
        <w:t>realizando sus estudios</w:t>
      </w:r>
      <w:r w:rsidR="00DE0460">
        <w:t xml:space="preserve"> en los próximos años, </w:t>
      </w:r>
      <w:r w:rsidR="00E576F1">
        <w:t xml:space="preserve"> con</w:t>
      </w:r>
      <w:r w:rsidR="00DE0460">
        <w:t xml:space="preserve"> el financiamiento del CAE  o </w:t>
      </w:r>
      <w:r w:rsidR="00E576F1">
        <w:t>nueva modalidad de créd</w:t>
      </w:r>
      <w:r w:rsidR="00DE0460">
        <w:t xml:space="preserve">ito universitario en discusión y </w:t>
      </w:r>
      <w:r w:rsidR="00E576F1">
        <w:t xml:space="preserve"> el sistema de becas universitaria. </w:t>
      </w:r>
      <w:r w:rsidR="00DE0460">
        <w:t xml:space="preserve">Esto configura en perspectivas, dos subsistemas en la educacion superior : el de la gratuidad y el modelo voucher-créditos. </w:t>
      </w:r>
    </w:p>
    <w:p w14:paraId="170332DF" w14:textId="77777777" w:rsidR="004C3A73" w:rsidRDefault="004C3A73" w:rsidP="00346E2B"/>
    <w:p w14:paraId="72CBEE38" w14:textId="5A505D9E" w:rsidR="00346E2B" w:rsidRPr="004C3A73" w:rsidRDefault="00326BA4" w:rsidP="00346E2B">
      <w:pPr>
        <w:rPr>
          <w:b/>
          <w:sz w:val="20"/>
          <w:szCs w:val="20"/>
        </w:rPr>
      </w:pPr>
      <w:r w:rsidRPr="004C3A73">
        <w:rPr>
          <w:b/>
          <w:sz w:val="20"/>
          <w:szCs w:val="20"/>
        </w:rPr>
        <w:t xml:space="preserve">Grafico </w:t>
      </w:r>
      <w:r w:rsidR="004C3A73" w:rsidRPr="004C3A73">
        <w:rPr>
          <w:b/>
          <w:sz w:val="20"/>
          <w:szCs w:val="20"/>
        </w:rPr>
        <w:t xml:space="preserve">3 </w:t>
      </w:r>
      <w:r w:rsidRPr="004C3A73">
        <w:rPr>
          <w:b/>
          <w:sz w:val="20"/>
          <w:szCs w:val="20"/>
        </w:rPr>
        <w:t>: La cobertura</w:t>
      </w:r>
      <w:r w:rsidR="004C3A73" w:rsidRPr="004C3A73">
        <w:rPr>
          <w:b/>
          <w:sz w:val="20"/>
          <w:szCs w:val="20"/>
        </w:rPr>
        <w:t xml:space="preserve"> proyectada de</w:t>
      </w:r>
      <w:r w:rsidRPr="004C3A73">
        <w:rPr>
          <w:b/>
          <w:sz w:val="20"/>
          <w:szCs w:val="20"/>
        </w:rPr>
        <w:t xml:space="preserve"> gratuidad 2018 : 31% del estudiantado universitario </w:t>
      </w:r>
    </w:p>
    <w:p w14:paraId="147EC39F" w14:textId="77777777" w:rsidR="00346E2B" w:rsidRDefault="00346E2B" w:rsidP="00346E2B"/>
    <w:p w14:paraId="5E23662E" w14:textId="77777777" w:rsidR="00346E2B" w:rsidRDefault="00346E2B" w:rsidP="00346E2B">
      <w:r>
        <w:rPr>
          <w:noProof/>
          <w:lang w:val="es-ES"/>
        </w:rPr>
        <w:drawing>
          <wp:inline distT="0" distB="0" distL="0" distR="0" wp14:anchorId="74E95542" wp14:editId="52907523">
            <wp:extent cx="5482590" cy="2477135"/>
            <wp:effectExtent l="0" t="0" r="381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13CE20" w14:textId="77777777" w:rsidR="00346E2B" w:rsidRDefault="00346E2B" w:rsidP="00346E2B">
      <w:pPr>
        <w:rPr>
          <w:i/>
          <w:sz w:val="22"/>
          <w:szCs w:val="22"/>
        </w:rPr>
      </w:pPr>
      <w:r>
        <w:rPr>
          <w:i/>
          <w:sz w:val="22"/>
          <w:szCs w:val="22"/>
        </w:rPr>
        <w:t>Elaborado en base a Mineduc/CNED Tendencias Educacion Superior Junio 2017.</w:t>
      </w:r>
    </w:p>
    <w:p w14:paraId="4E4110CC" w14:textId="77777777" w:rsidR="003F779E" w:rsidRDefault="003F779E" w:rsidP="00346E2B">
      <w:pPr>
        <w:rPr>
          <w:i/>
          <w:sz w:val="22"/>
          <w:szCs w:val="22"/>
        </w:rPr>
      </w:pPr>
    </w:p>
    <w:p w14:paraId="3CA3EFE6" w14:textId="240EE636" w:rsidR="00F92EB9" w:rsidRPr="003F779E" w:rsidRDefault="000F058A" w:rsidP="00F92EB9">
      <w:pPr>
        <w:jc w:val="both"/>
      </w:pPr>
      <w:r>
        <w:t>Los</w:t>
      </w:r>
      <w:r w:rsidR="00E576F1">
        <w:t xml:space="preserve"> escenario</w:t>
      </w:r>
      <w:r>
        <w:t>s</w:t>
      </w:r>
      <w:r w:rsidR="00E576F1">
        <w:t xml:space="preserve"> de desarrollo de la gratuidad en el marco de los proyectos políticos en juego serán </w:t>
      </w:r>
      <w:r w:rsidR="00DE0460">
        <w:t>: uno de ajuste y freno de la reforma</w:t>
      </w:r>
      <w:r w:rsidR="00F92EB9">
        <w:t xml:space="preserve">  y el otro</w:t>
      </w:r>
      <w:r w:rsidR="00DE0460">
        <w:t xml:space="preserve"> escenario</w:t>
      </w:r>
      <w:r w:rsidR="00F92EB9">
        <w:t xml:space="preserve"> </w:t>
      </w:r>
      <w:r w:rsidR="00E576F1">
        <w:t>de consolidaci</w:t>
      </w:r>
      <w:r w:rsidR="00DE0460">
        <w:t>ón y avance gradual</w:t>
      </w:r>
      <w:r w:rsidR="00F92EB9">
        <w:t xml:space="preserve"> . El</w:t>
      </w:r>
      <w:r w:rsidR="00DE0460">
        <w:t xml:space="preserve"> resultado electoral determinará</w:t>
      </w:r>
      <w:r w:rsidR="00F92EB9">
        <w:t xml:space="preserve"> los escenarios </w:t>
      </w:r>
      <w:bookmarkStart w:id="0" w:name="_GoBack"/>
      <w:bookmarkEnd w:id="0"/>
      <w:r w:rsidR="00F92EB9">
        <w:t xml:space="preserve">de la reforma educacional en los proximos años. </w:t>
      </w:r>
      <w:r w:rsidR="003F779E">
        <w:t xml:space="preserve">                                                </w:t>
      </w:r>
      <w:r w:rsidR="00F92EB9" w:rsidRPr="00F92EB9">
        <w:rPr>
          <w:i/>
        </w:rPr>
        <w:t>RPV/</w:t>
      </w:r>
      <w:r w:rsidR="00DE0460">
        <w:rPr>
          <w:i/>
        </w:rPr>
        <w:t>22/10/17</w:t>
      </w:r>
    </w:p>
    <w:p w14:paraId="4750835A" w14:textId="77777777" w:rsidR="004C3A73" w:rsidRPr="004C3A73" w:rsidRDefault="004C3A73" w:rsidP="00346E2B">
      <w:pPr>
        <w:rPr>
          <w:sz w:val="22"/>
          <w:szCs w:val="22"/>
        </w:rPr>
      </w:pPr>
    </w:p>
    <w:p w14:paraId="20A8C364" w14:textId="77777777" w:rsidR="00057718" w:rsidRDefault="00057718" w:rsidP="00346E2B">
      <w:pPr>
        <w:rPr>
          <w:i/>
          <w:sz w:val="22"/>
          <w:szCs w:val="22"/>
        </w:rPr>
      </w:pPr>
    </w:p>
    <w:p w14:paraId="055C9C16" w14:textId="77777777" w:rsidR="00057718" w:rsidRDefault="00057718" w:rsidP="00346E2B">
      <w:pPr>
        <w:rPr>
          <w:i/>
          <w:sz w:val="22"/>
          <w:szCs w:val="22"/>
        </w:rPr>
      </w:pPr>
    </w:p>
    <w:p w14:paraId="4CDCB9C7" w14:textId="77777777" w:rsidR="00057718" w:rsidRPr="00346E2B" w:rsidRDefault="00057718" w:rsidP="00346E2B">
      <w:pPr>
        <w:rPr>
          <w:i/>
          <w:sz w:val="22"/>
          <w:szCs w:val="22"/>
        </w:rPr>
      </w:pPr>
    </w:p>
    <w:sectPr w:rsidR="00057718" w:rsidRPr="00346E2B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57718"/>
    <w:rsid w:val="000F058A"/>
    <w:rsid w:val="001A65E3"/>
    <w:rsid w:val="002135C4"/>
    <w:rsid w:val="0030344C"/>
    <w:rsid w:val="00316CA6"/>
    <w:rsid w:val="00326BA4"/>
    <w:rsid w:val="00346E2B"/>
    <w:rsid w:val="00393E8A"/>
    <w:rsid w:val="0039640D"/>
    <w:rsid w:val="003F779E"/>
    <w:rsid w:val="0044622B"/>
    <w:rsid w:val="004C3A73"/>
    <w:rsid w:val="0054286D"/>
    <w:rsid w:val="008F7BD0"/>
    <w:rsid w:val="009933CB"/>
    <w:rsid w:val="00B0314A"/>
    <w:rsid w:val="00B64301"/>
    <w:rsid w:val="00C47C71"/>
    <w:rsid w:val="00CD07DB"/>
    <w:rsid w:val="00D45823"/>
    <w:rsid w:val="00DD04E0"/>
    <w:rsid w:val="00DE0460"/>
    <w:rsid w:val="00E576F1"/>
    <w:rsid w:val="00F92EB9"/>
    <w:rsid w:val="00FA5B20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58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46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E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E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46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E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E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s-ES" sz="900"/>
              <a:t>Cobertura institucional gratuidad 2017</a:t>
            </a:r>
          </a:p>
        </c:rich>
      </c:tx>
      <c:layout>
        <c:manualLayout>
          <c:xMode val="edge"/>
          <c:yMode val="edge"/>
          <c:x val="0.245094329172094"/>
          <c:y val="0.0187734668335419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711275368999569"/>
          <c:y val="0.179915878966154"/>
          <c:w val="0.890520778652668"/>
          <c:h val="0.671543452901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Hoja1!$E$36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2.546266881604E-17"/>
                  <c:y val="-0.0277777777777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25"/>
                  <c:y val="-0.0277777777777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305555555555555"/>
                  <c:y val="-0.009259259259259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Hoja1!$D$37:$D$39</c:f>
              <c:strCache>
                <c:ptCount val="3"/>
                <c:pt idx="0">
                  <c:v>Universidad</c:v>
                </c:pt>
                <c:pt idx="1">
                  <c:v>Iprofesional</c:v>
                </c:pt>
                <c:pt idx="2">
                  <c:v>CFT</c:v>
                </c:pt>
              </c:strCache>
            </c:strRef>
          </c:cat>
          <c:val>
            <c:numRef>
              <c:f>Hoja1!$E$37:$E$39</c:f>
              <c:numCache>
                <c:formatCode>General</c:formatCode>
                <c:ptCount val="3"/>
                <c:pt idx="0">
                  <c:v>30.0</c:v>
                </c:pt>
                <c:pt idx="1">
                  <c:v>6.0</c:v>
                </c:pt>
                <c:pt idx="2">
                  <c:v>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20523960"/>
        <c:axId val="2137629368"/>
        <c:axId val="0"/>
      </c:bar3DChart>
      <c:catAx>
        <c:axId val="2120523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2137629368"/>
        <c:crosses val="autoZero"/>
        <c:auto val="1"/>
        <c:lblAlgn val="ctr"/>
        <c:lblOffset val="100"/>
        <c:noMultiLvlLbl val="0"/>
      </c:catAx>
      <c:valAx>
        <c:axId val="2137629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523960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solidFill>
        <a:srgbClr val="FFFFFF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100"/>
              <a:t>Gratuidad universitaria</a:t>
            </a:r>
            <a:r>
              <a:rPr lang="es-ES" sz="1100" baseline="0"/>
              <a:t> estimada al </a:t>
            </a:r>
            <a:r>
              <a:rPr lang="es-ES" sz="1100"/>
              <a:t>2018</a:t>
            </a:r>
            <a:r>
              <a:rPr lang="es-ES" sz="1100" baseline="0"/>
              <a:t> hasta el</a:t>
            </a:r>
            <a:r>
              <a:rPr lang="es-ES" sz="1100"/>
              <a:t> 6 decil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611111111111"/>
          <c:y val="0.172222222222222"/>
          <c:w val="0.821388888888889"/>
          <c:h val="0.7189814814814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Hoja1!$H$7:$H$8</c:f>
              <c:strCache>
                <c:ptCount val="1"/>
                <c:pt idx="0">
                  <c:v>Gratuidad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0"/>
                  <c:y val="-0.00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533763208E-17"/>
                  <c:y val="-0.032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85067526416E-16"/>
                  <c:y val="-0.0185185185185186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110.000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Hoja1!$G$9:$G$11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Estimado 2018</c:v>
                </c:pt>
              </c:strCache>
            </c:strRef>
          </c:cat>
          <c:val>
            <c:numRef>
              <c:f>Hoja1!$H$9:$H$11</c:f>
              <c:numCache>
                <c:formatCode>#,##0</c:formatCode>
                <c:ptCount val="3"/>
                <c:pt idx="0">
                  <c:v>114120.0</c:v>
                </c:pt>
                <c:pt idx="1">
                  <c:v>148021.0</c:v>
                </c:pt>
                <c:pt idx="2">
                  <c:v>100000.0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7859832"/>
        <c:axId val="-2110323448"/>
        <c:axId val="0"/>
      </c:bar3DChart>
      <c:catAx>
        <c:axId val="2117859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s-ES"/>
          </a:p>
        </c:txPr>
        <c:crossAx val="-2110323448"/>
        <c:crosses val="autoZero"/>
        <c:auto val="1"/>
        <c:lblAlgn val="ctr"/>
        <c:lblOffset val="100"/>
        <c:noMultiLvlLbl val="0"/>
      </c:catAx>
      <c:valAx>
        <c:axId val="-2110323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17859832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solidFill>
        <a:srgbClr val="FFFFFF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Hoja1!$I$19</c:f>
              <c:strCache>
                <c:ptCount val="1"/>
              </c:strCache>
            </c:strRef>
          </c:tx>
          <c:explosion val="7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18883775733732"/>
                  <c:y val="0.130115637621688"/>
                </c:manualLayout>
              </c:layout>
              <c:tx>
                <c:rich>
                  <a:bodyPr/>
                  <a:lstStyle/>
                  <a:p>
                    <a:r>
                      <a:rPr lang="es-ES" sz="800"/>
                      <a:t>Est.gratuidad 6 decil
31%</a:t>
                    </a:r>
                    <a:endParaRPr lang="es-ES" sz="11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s-ES" sz="800"/>
                      <a:t>Est.sin gratuidad
69%</a:t>
                    </a:r>
                    <a:endParaRPr lang="es-E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Hoja1!$H$20:$H$22</c:f>
              <c:strCache>
                <c:ptCount val="2"/>
                <c:pt idx="0">
                  <c:v>Est.gratui 6decil</c:v>
                </c:pt>
                <c:pt idx="1">
                  <c:v>Est.sin graruidad</c:v>
                </c:pt>
              </c:strCache>
            </c:strRef>
          </c:cat>
          <c:val>
            <c:numRef>
              <c:f>Hoja1!$I$20:$I$22</c:f>
              <c:numCache>
                <c:formatCode>#,##0</c:formatCode>
                <c:ptCount val="3"/>
                <c:pt idx="0">
                  <c:v>362000.0</c:v>
                </c:pt>
                <c:pt idx="1">
                  <c:v>800306.0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890</Words>
  <Characters>4900</Characters>
  <Application>Microsoft Macintosh Word</Application>
  <DocSecurity>0</DocSecurity>
  <Lines>40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7</cp:revision>
  <dcterms:created xsi:type="dcterms:W3CDTF">2017-10-19T22:35:00Z</dcterms:created>
  <dcterms:modified xsi:type="dcterms:W3CDTF">2017-10-23T16:06:00Z</dcterms:modified>
</cp:coreProperties>
</file>