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6FBCB" w14:textId="77777777" w:rsidR="00E51C47" w:rsidRDefault="00301D9B" w:rsidP="00E51C47">
      <w:pPr>
        <w:pStyle w:val="Ttulo"/>
        <w:rPr>
          <w:b/>
          <w:sz w:val="56"/>
          <w:szCs w:val="56"/>
        </w:rPr>
      </w:pPr>
      <w:r w:rsidRPr="00C176C3">
        <w:rPr>
          <w:sz w:val="56"/>
          <w:szCs w:val="56"/>
        </w:rPr>
        <w:t>A</w:t>
      </w:r>
      <w:r w:rsidRPr="00C176C3">
        <w:rPr>
          <w:b/>
          <w:sz w:val="56"/>
          <w:szCs w:val="56"/>
        </w:rPr>
        <w:t>nálisis de encuesta CEP</w:t>
      </w:r>
      <w:r w:rsidR="00E51C47">
        <w:rPr>
          <w:b/>
          <w:sz w:val="56"/>
          <w:szCs w:val="56"/>
        </w:rPr>
        <w:t xml:space="preserve"> </w:t>
      </w:r>
    </w:p>
    <w:p w14:paraId="32EA6B74" w14:textId="0D0A8B6F" w:rsidR="0054286D" w:rsidRDefault="00E51C47" w:rsidP="00301D9B">
      <w:pPr>
        <w:pStyle w:val="Ttulo"/>
        <w:rPr>
          <w:b/>
          <w:sz w:val="24"/>
          <w:szCs w:val="24"/>
        </w:rPr>
      </w:pPr>
      <w:r w:rsidRPr="00E51C47">
        <w:rPr>
          <w:b/>
          <w:sz w:val="28"/>
          <w:szCs w:val="28"/>
        </w:rPr>
        <w:t>Algunos tópicos relevantes</w:t>
      </w:r>
      <w:r>
        <w:rPr>
          <w:b/>
          <w:sz w:val="28"/>
          <w:szCs w:val="28"/>
        </w:rPr>
        <w:t xml:space="preserve">   </w:t>
      </w:r>
      <w:r w:rsidR="00301D9B" w:rsidRPr="00301D9B">
        <w:rPr>
          <w:b/>
          <w:sz w:val="24"/>
          <w:szCs w:val="24"/>
        </w:rPr>
        <w:t>Septiembre</w:t>
      </w:r>
      <w:r w:rsidR="00301D9B">
        <w:rPr>
          <w:b/>
          <w:sz w:val="24"/>
          <w:szCs w:val="24"/>
        </w:rPr>
        <w:t xml:space="preserve"> /</w:t>
      </w:r>
      <w:r w:rsidR="00301D9B" w:rsidRPr="00301D9B">
        <w:rPr>
          <w:b/>
          <w:sz w:val="24"/>
          <w:szCs w:val="24"/>
        </w:rPr>
        <w:t xml:space="preserve"> Octubre 2017</w:t>
      </w:r>
      <w:r w:rsidR="00301D9B">
        <w:rPr>
          <w:b/>
          <w:sz w:val="24"/>
          <w:szCs w:val="24"/>
        </w:rPr>
        <w:t>.</w:t>
      </w:r>
    </w:p>
    <w:p w14:paraId="6893D6E5" w14:textId="28A3C877" w:rsidR="00E51C47" w:rsidRPr="00E51C47" w:rsidRDefault="00E51C47" w:rsidP="00E51C47">
      <w:pPr>
        <w:jc w:val="both"/>
      </w:pPr>
      <w:r>
        <w:t>La encuesta CEP, entrega algunos elementos de contexto economico, social,politico e ideologico que dan cuenta de cambios y tendencias del clima de opinion del pais, y que tienen incidencia en el comportamiento de los actores y en el desenlace de la campaña presidencial.</w:t>
      </w:r>
    </w:p>
    <w:p w14:paraId="08EFFDAC" w14:textId="77777777" w:rsidR="00E51C47" w:rsidRDefault="00E51C47" w:rsidP="00301D9B"/>
    <w:p w14:paraId="4E484B88" w14:textId="77777777" w:rsidR="00301D9B" w:rsidRDefault="00301D9B" w:rsidP="00301D9B">
      <w:pPr>
        <w:rPr>
          <w:b/>
        </w:rPr>
      </w:pPr>
      <w:r w:rsidRPr="00301D9B">
        <w:rPr>
          <w:b/>
        </w:rPr>
        <w:t>Un pais con mas optimismo</w:t>
      </w:r>
      <w:r>
        <w:rPr>
          <w:b/>
        </w:rPr>
        <w:t>.</w:t>
      </w:r>
    </w:p>
    <w:p w14:paraId="5BD25EB7" w14:textId="77777777" w:rsidR="00240305" w:rsidRDefault="00240305" w:rsidP="00301D9B">
      <w:pPr>
        <w:rPr>
          <w:b/>
        </w:rPr>
      </w:pPr>
    </w:p>
    <w:p w14:paraId="0EF4B4BC" w14:textId="63CE1851" w:rsidR="00240305" w:rsidRDefault="00240305" w:rsidP="00240305">
      <w:pPr>
        <w:jc w:val="both"/>
      </w:pPr>
      <w:r>
        <w:t xml:space="preserve">La percepción de la situación económica y personal presenta una perspectiva optimista, como tendencia en desarrollo desde Agosto del 2016. No es un dato relacionado con indicadores </w:t>
      </w:r>
      <w:r w:rsidR="00CB2C40">
        <w:t xml:space="preserve">recientes </w:t>
      </w:r>
      <w:r>
        <w:t>de crecimiento y empleo</w:t>
      </w:r>
      <w:r w:rsidR="00CB2C40">
        <w:t xml:space="preserve"> sino una tendencia en desarrollo </w:t>
      </w:r>
      <w:r>
        <w:t>.</w:t>
      </w:r>
      <w:r w:rsidR="00CB2C40">
        <w:t>La percepcion que el pais estará</w:t>
      </w:r>
      <w:r>
        <w:t xml:space="preserve"> mejor el proximo años sube 9 puntos en un añ</w:t>
      </w:r>
      <w:r w:rsidR="00CB2C40">
        <w:t>o : de 31 a 40% ; y la percepción que la situación personal será</w:t>
      </w:r>
      <w:r>
        <w:t xml:space="preserve"> mejor el próximo año, la percepcion de futuro, es tambien optimista, subiendo 16 puntos desde agosto del 2016, de 14 a</w:t>
      </w:r>
      <w:r w:rsidR="00E51C47">
        <w:t xml:space="preserve"> 30%. Simultaneamente se percib</w:t>
      </w:r>
      <w:r>
        <w:t>e la baja de</w:t>
      </w:r>
      <w:r w:rsidR="00E51C47">
        <w:t xml:space="preserve"> percepcion de </w:t>
      </w:r>
      <w:r>
        <w:t>situacion economica</w:t>
      </w:r>
      <w:r w:rsidR="00E51C47">
        <w:t xml:space="preserve"> de pais de mala muy mala, </w:t>
      </w:r>
      <w:r>
        <w:t>de un 48% en Agosto del 2016 cae a un 32%, 16 puntos.</w:t>
      </w:r>
    </w:p>
    <w:p w14:paraId="3BDB2358" w14:textId="77777777" w:rsidR="00240305" w:rsidRDefault="00240305" w:rsidP="00240305">
      <w:pPr>
        <w:jc w:val="both"/>
      </w:pPr>
    </w:p>
    <w:p w14:paraId="30886AF9" w14:textId="1DD5E1C6" w:rsidR="00240305" w:rsidRDefault="00240305" w:rsidP="00240305">
      <w:pPr>
        <w:jc w:val="both"/>
      </w:pPr>
      <w:r>
        <w:t xml:space="preserve">Explicaciones tentativas de la </w:t>
      </w:r>
      <w:r w:rsidR="00CB2C40">
        <w:t xml:space="preserve">tendencia optimistade país </w:t>
      </w:r>
      <w:r>
        <w:t>podrian encontrarse en que el desempleo , que se insinuó como un tema crítico</w:t>
      </w:r>
      <w:r w:rsidR="00CB2C40">
        <w:t xml:space="preserve"> hace un año, </w:t>
      </w:r>
      <w:r>
        <w:t xml:space="preserve"> </w:t>
      </w:r>
      <w:r w:rsidR="00CB2C40">
        <w:t>por el bajo crecimiento y situación crítica</w:t>
      </w:r>
      <w:r>
        <w:t xml:space="preserve"> en la mineria del cobre,</w:t>
      </w:r>
      <w:r w:rsidR="00CB2C40">
        <w:t xml:space="preserve"> se mantuvo contenido</w:t>
      </w:r>
      <w:r>
        <w:t xml:space="preserve"> en tasas relativamente normales en el último año.Esta percepción mas optimista se contrapone al discurso económico </w:t>
      </w:r>
      <w:r w:rsidR="00CB2C40">
        <w:t>de Pilñera y la oposisición</w:t>
      </w:r>
      <w:r>
        <w:t xml:space="preserve"> en la campaña presidencial que ha acentuado el estancamiento económico y deterioro del pais como clave para el posicionamiento de su opción</w:t>
      </w:r>
      <w:r w:rsidR="00CB2C40">
        <w:t xml:space="preserve"> electoral</w:t>
      </w:r>
      <w:r>
        <w:t>. Si bien este discur</w:t>
      </w:r>
      <w:r w:rsidR="00CB2C40">
        <w:t xml:space="preserve">so tiene receptividad, no tiene </w:t>
      </w:r>
      <w:r>
        <w:t>la sintonía esperada considerando el contexto de bajo crecimiento del país.</w:t>
      </w:r>
    </w:p>
    <w:p w14:paraId="0738896D" w14:textId="77777777" w:rsidR="00240305" w:rsidRDefault="00240305" w:rsidP="00240305">
      <w:pPr>
        <w:jc w:val="both"/>
      </w:pPr>
    </w:p>
    <w:p w14:paraId="46868B07" w14:textId="31433715" w:rsidR="00301D9B" w:rsidRDefault="00240305" w:rsidP="00CB2C40">
      <w:pPr>
        <w:jc w:val="both"/>
        <w:rPr>
          <w:b/>
        </w:rPr>
      </w:pPr>
      <w:r w:rsidRPr="00240305">
        <w:rPr>
          <w:b/>
        </w:rPr>
        <w:t>Grafico 1 : Percepcion de la situacion economica del pais y personal.</w:t>
      </w:r>
    </w:p>
    <w:p w14:paraId="32907797" w14:textId="77777777" w:rsidR="00301D9B" w:rsidRDefault="00301D9B" w:rsidP="00301D9B">
      <w:pPr>
        <w:rPr>
          <w:b/>
        </w:rPr>
      </w:pPr>
      <w:r>
        <w:rPr>
          <w:noProof/>
          <w:lang w:val="es-ES"/>
        </w:rPr>
        <w:drawing>
          <wp:inline distT="0" distB="0" distL="0" distR="0" wp14:anchorId="686CCBCA" wp14:editId="7F1BC99D">
            <wp:extent cx="5946775" cy="2180590"/>
            <wp:effectExtent l="0" t="0" r="22225" b="292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B48B2D8" w14:textId="77777777" w:rsidR="00301D9B" w:rsidRDefault="00301D9B" w:rsidP="00301D9B">
      <w:pPr>
        <w:rPr>
          <w:i/>
          <w:sz w:val="20"/>
          <w:szCs w:val="20"/>
        </w:rPr>
      </w:pPr>
      <w:r>
        <w:rPr>
          <w:i/>
          <w:sz w:val="20"/>
          <w:szCs w:val="20"/>
        </w:rPr>
        <w:t>Elaborado en base a encuesta CEP Sept/Oct..2017</w:t>
      </w:r>
    </w:p>
    <w:p w14:paraId="5F020440" w14:textId="77777777" w:rsidR="00315D85" w:rsidRDefault="00315D85" w:rsidP="00301D9B">
      <w:pPr>
        <w:rPr>
          <w:i/>
          <w:sz w:val="20"/>
          <w:szCs w:val="20"/>
        </w:rPr>
      </w:pPr>
    </w:p>
    <w:p w14:paraId="6B69E7C9" w14:textId="77777777" w:rsidR="00315D85" w:rsidRDefault="00315D85" w:rsidP="00301D9B">
      <w:pPr>
        <w:rPr>
          <w:i/>
          <w:sz w:val="20"/>
          <w:szCs w:val="20"/>
        </w:rPr>
      </w:pPr>
    </w:p>
    <w:p w14:paraId="58EDF05F" w14:textId="77777777" w:rsidR="00315D85" w:rsidRDefault="00315D85" w:rsidP="00301D9B">
      <w:pPr>
        <w:rPr>
          <w:b/>
        </w:rPr>
      </w:pPr>
      <w:r w:rsidRPr="00315D85">
        <w:rPr>
          <w:b/>
        </w:rPr>
        <w:t>Cambio del clima politico del pais</w:t>
      </w:r>
    </w:p>
    <w:p w14:paraId="3B2B4B26" w14:textId="77777777" w:rsidR="00315D85" w:rsidRDefault="00315D85" w:rsidP="00301D9B">
      <w:pPr>
        <w:rPr>
          <w:b/>
        </w:rPr>
      </w:pPr>
    </w:p>
    <w:p w14:paraId="06EEB418" w14:textId="18620114" w:rsidR="00315D85" w:rsidRDefault="00240305" w:rsidP="00D141D8">
      <w:pPr>
        <w:jc w:val="both"/>
      </w:pPr>
      <w:r>
        <w:t>Un segundo elemento relevante de la encuesta CEP es el progresivo cambio en la percepcion politica de las personas en el ultimo año : existe un claro aumento de las personas que se identifican de derecha, de un 10 a un 20% y una baja notoria de las personas que se identifican con la izquierda de 21 a un 10%. La percepcion de centro en general se mantiene dentro de parametros conocidos.</w:t>
      </w:r>
    </w:p>
    <w:p w14:paraId="662E46E1" w14:textId="77777777" w:rsidR="00240305" w:rsidRDefault="00240305" w:rsidP="00D141D8">
      <w:pPr>
        <w:jc w:val="both"/>
      </w:pPr>
    </w:p>
    <w:p w14:paraId="02D01FDB" w14:textId="5BD16BBA" w:rsidR="00240305" w:rsidRDefault="00D141D8" w:rsidP="00D141D8">
      <w:pPr>
        <w:jc w:val="both"/>
      </w:pPr>
      <w:r>
        <w:t>Lo nu</w:t>
      </w:r>
      <w:r w:rsidR="00240305">
        <w:t>evo del clivaje polìtico-ideológico del pais es el fortalecimiento de la percepc</w:t>
      </w:r>
      <w:r>
        <w:t xml:space="preserve">ion de derecha de las personas, correlacionada con la baja de la izquierda, </w:t>
      </w:r>
      <w:r w:rsidR="00FF6935">
        <w:t xml:space="preserve">que probablemente se relaciones con las altas </w:t>
      </w:r>
      <w:r>
        <w:t>expectativas</w:t>
      </w:r>
      <w:r w:rsidR="00E51C47">
        <w:t xml:space="preserve"> iniciales</w:t>
      </w:r>
      <w:r>
        <w:t xml:space="preserve"> y </w:t>
      </w:r>
      <w:r w:rsidR="00FF6935">
        <w:t xml:space="preserve">menores </w:t>
      </w:r>
      <w:r>
        <w:t>resultados</w:t>
      </w:r>
      <w:r w:rsidR="00FF6935">
        <w:t xml:space="preserve"> a lo esperado</w:t>
      </w:r>
      <w:r w:rsidR="00E51C47">
        <w:t xml:space="preserve"> de la gestión de </w:t>
      </w:r>
      <w:r>
        <w:t>Bachelet</w:t>
      </w:r>
      <w:r w:rsidR="00E51C47">
        <w:t xml:space="preserve"> y el gobierno de la Nueva Mayoría</w:t>
      </w:r>
      <w:r>
        <w:t xml:space="preserve">. Este nuevo clivaje polìtico-ideológico </w:t>
      </w:r>
      <w:r w:rsidR="00E51C47">
        <w:t xml:space="preserve">, </w:t>
      </w:r>
      <w:r>
        <w:t>puede explicar el discurso mas a la derecha de Piñera en materia de libertades, derechos sexuales y temas de derechos humanos como tambien el posicionamiento de Kast como neoderecha dura.</w:t>
      </w:r>
    </w:p>
    <w:p w14:paraId="04FAD60B" w14:textId="77777777" w:rsidR="00D141D8" w:rsidRPr="00240305" w:rsidRDefault="00D141D8" w:rsidP="00D141D8">
      <w:pPr>
        <w:jc w:val="both"/>
      </w:pPr>
    </w:p>
    <w:p w14:paraId="6AE1740F" w14:textId="7BDD19B2" w:rsidR="00240305" w:rsidRDefault="00D141D8" w:rsidP="00301D9B">
      <w:pPr>
        <w:rPr>
          <w:b/>
        </w:rPr>
      </w:pPr>
      <w:r>
        <w:rPr>
          <w:b/>
        </w:rPr>
        <w:t>Grafico 2 : Identificación política de las personas.</w:t>
      </w:r>
    </w:p>
    <w:p w14:paraId="27AB90C2" w14:textId="77777777" w:rsidR="00D141D8" w:rsidRDefault="00D141D8" w:rsidP="00301D9B">
      <w:pPr>
        <w:rPr>
          <w:b/>
        </w:rPr>
      </w:pPr>
    </w:p>
    <w:p w14:paraId="5F819E86" w14:textId="0AAB75DE" w:rsidR="000A1D41" w:rsidRDefault="00315D85" w:rsidP="00301D9B">
      <w:pPr>
        <w:rPr>
          <w:b/>
        </w:rPr>
      </w:pPr>
      <w:r>
        <w:rPr>
          <w:noProof/>
          <w:lang w:val="es-ES"/>
        </w:rPr>
        <w:drawing>
          <wp:inline distT="0" distB="0" distL="0" distR="0" wp14:anchorId="262810EC" wp14:editId="4FDE74B3">
            <wp:extent cx="5946775" cy="2084070"/>
            <wp:effectExtent l="0" t="0" r="22225" b="241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43DF856" w14:textId="77777777" w:rsidR="00315D85" w:rsidRDefault="00315D85" w:rsidP="00301D9B">
      <w:pPr>
        <w:rPr>
          <w:i/>
          <w:sz w:val="20"/>
          <w:szCs w:val="20"/>
        </w:rPr>
      </w:pPr>
      <w:r>
        <w:rPr>
          <w:i/>
          <w:sz w:val="20"/>
          <w:szCs w:val="20"/>
        </w:rPr>
        <w:t>Elaborado en base a encuesta CEP Sept/Oct.2017</w:t>
      </w:r>
    </w:p>
    <w:p w14:paraId="6ED56A70" w14:textId="77777777" w:rsidR="000A1D41" w:rsidRDefault="000A1D41" w:rsidP="00301D9B">
      <w:pPr>
        <w:rPr>
          <w:i/>
          <w:sz w:val="20"/>
          <w:szCs w:val="20"/>
        </w:rPr>
      </w:pPr>
    </w:p>
    <w:p w14:paraId="0C612BA6" w14:textId="77777777" w:rsidR="000A1D41" w:rsidRDefault="000A1D41" w:rsidP="00301D9B">
      <w:pPr>
        <w:rPr>
          <w:i/>
          <w:sz w:val="20"/>
          <w:szCs w:val="20"/>
        </w:rPr>
      </w:pPr>
    </w:p>
    <w:p w14:paraId="06D43495" w14:textId="7E6C9BFB" w:rsidR="000A1D41" w:rsidRDefault="000A1D41" w:rsidP="00301D9B">
      <w:pPr>
        <w:rPr>
          <w:b/>
        </w:rPr>
      </w:pPr>
      <w:r w:rsidRPr="000A1D41">
        <w:rPr>
          <w:b/>
        </w:rPr>
        <w:t>El ultimo año de los 4 Gobiernos</w:t>
      </w:r>
      <w:r>
        <w:rPr>
          <w:b/>
        </w:rPr>
        <w:t xml:space="preserve"> del 2000 al </w:t>
      </w:r>
      <w:r w:rsidRPr="000A1D41">
        <w:rPr>
          <w:b/>
        </w:rPr>
        <w:t>2017</w:t>
      </w:r>
      <w:r w:rsidR="00D141D8">
        <w:rPr>
          <w:b/>
        </w:rPr>
        <w:t>.</w:t>
      </w:r>
    </w:p>
    <w:p w14:paraId="6C2FBCD8" w14:textId="77777777" w:rsidR="00D141D8" w:rsidRDefault="00D141D8" w:rsidP="00301D9B">
      <w:pPr>
        <w:rPr>
          <w:b/>
        </w:rPr>
      </w:pPr>
    </w:p>
    <w:p w14:paraId="27A8F395" w14:textId="148515DF" w:rsidR="00D141D8" w:rsidRDefault="00D141D8" w:rsidP="00D141D8">
      <w:pPr>
        <w:jc w:val="both"/>
      </w:pPr>
      <w:r>
        <w:t xml:space="preserve">La Presidenta Bachelet está terminando su Gobierno aumentando su apoyo, en una tendencia similar a lo acontecido con los gobiernos en los ultimos 17 años. La tendencia ascendente de mayor apoyo a Bachelet se ha venido desarrollando durante todo el 2017 y es probable que continue aumentando en los meses que quedan de su gobierno. </w:t>
      </w:r>
      <w:r w:rsidR="00CB2C40">
        <w:t>Sin embargo está dentro de rangos bajos de aprobación.</w:t>
      </w:r>
    </w:p>
    <w:p w14:paraId="536110CE" w14:textId="77777777" w:rsidR="00FF6935" w:rsidRDefault="00FF6935" w:rsidP="00D141D8">
      <w:pPr>
        <w:jc w:val="both"/>
      </w:pPr>
    </w:p>
    <w:p w14:paraId="4DCEA12D" w14:textId="7B95B3CD" w:rsidR="00FF6935" w:rsidRDefault="00FF6935" w:rsidP="00D141D8">
      <w:pPr>
        <w:jc w:val="both"/>
      </w:pPr>
      <w:r>
        <w:t xml:space="preserve">Una mirada en perspectiva de la aprobación de los presidentes en el ultimo año de Gobierno nos muestra una tendencia al aumento del apoyo en todos, los mandatarios  con Bachelet en su primer Gobierno </w:t>
      </w:r>
      <w:r w:rsidR="00CB2C40">
        <w:t xml:space="preserve">, </w:t>
      </w:r>
      <w:r>
        <w:t>como la mejor evaluada con un extradordinario 78%</w:t>
      </w:r>
      <w:r w:rsidR="00CB2C40">
        <w:t xml:space="preserve"> de aprobación </w:t>
      </w:r>
      <w:r>
        <w:t xml:space="preserve"> y a Bachelet en su segundo gobierno, como la peor evaluada de los ultimos 17 años con un 23%. </w:t>
      </w:r>
      <w:r w:rsidR="00CB2C40">
        <w:t xml:space="preserve">Estas cifras demuestran </w:t>
      </w:r>
      <w:r>
        <w:t>que</w:t>
      </w:r>
      <w:r w:rsidR="00CB2C40">
        <w:t xml:space="preserve"> en relaciòn al primer Gobierno de Bachelet, </w:t>
      </w:r>
      <w:r>
        <w:t xml:space="preserve"> e</w:t>
      </w:r>
      <w:r w:rsidR="00CB2C40">
        <w:t>l examen final de la ciudadanía fue pòsitivo</w:t>
      </w:r>
      <w:r>
        <w:t xml:space="preserve"> </w:t>
      </w:r>
      <w:r w:rsidR="00CB2C40">
        <w:t xml:space="preserve">- </w:t>
      </w:r>
      <w:r>
        <w:t>a pesar del im</w:t>
      </w:r>
      <w:r w:rsidR="00CB2C40">
        <w:t xml:space="preserve">pacto crítico del Transantiago – debido a </w:t>
      </w:r>
      <w:r>
        <w:t xml:space="preserve">una agenda social </w:t>
      </w:r>
      <w:r w:rsidR="00CB2C40">
        <w:t xml:space="preserve">efectiva y de impacto en las personas </w:t>
      </w:r>
      <w:r>
        <w:t xml:space="preserve">y </w:t>
      </w:r>
      <w:r w:rsidR="00CB2C40">
        <w:t xml:space="preserve">el </w:t>
      </w:r>
      <w:r>
        <w:t>manejo</w:t>
      </w:r>
      <w:r w:rsidR="00CB2C40">
        <w:t xml:space="preserve"> proactivo de la </w:t>
      </w:r>
      <w:r>
        <w:t>crisis economica</w:t>
      </w:r>
      <w:r w:rsidR="00CB2C40">
        <w:t xml:space="preserve"> del 2009,</w:t>
      </w:r>
      <w:r>
        <w:t xml:space="preserve"> combinando politica fiscal reactivadora y solidaridad social. Y</w:t>
      </w:r>
      <w:r w:rsidR="00CB2C40">
        <w:t xml:space="preserve"> asi tambien, el examen final ciudadano  , a pesar del repunte final,  no  aprobó</w:t>
      </w:r>
      <w:r>
        <w:t xml:space="preserve"> </w:t>
      </w:r>
      <w:r w:rsidR="00CB2C40">
        <w:t xml:space="preserve">la gestiòn de </w:t>
      </w:r>
      <w:r>
        <w:t>su segundo gobierno, instslado con altas expectativas de reformas trascendentes y bajas realizaciones</w:t>
      </w:r>
      <w:r w:rsidR="00CB2C40">
        <w:t>, especialmente en su</w:t>
      </w:r>
      <w:r>
        <w:t xml:space="preserve"> agenda social</w:t>
      </w:r>
      <w:r w:rsidR="00CB2C40">
        <w:t xml:space="preserve"> transformadora</w:t>
      </w:r>
      <w:r>
        <w:t xml:space="preserve"> en educacion y salud, con gratuidad parcial al 30% de los estudiantes y sin cumplir la</w:t>
      </w:r>
      <w:r w:rsidR="00CB2C40">
        <w:t xml:space="preserve">s metas de salud de hospitales y </w:t>
      </w:r>
      <w:r>
        <w:t>consultorios .</w:t>
      </w:r>
    </w:p>
    <w:p w14:paraId="189D9AAC" w14:textId="77777777" w:rsidR="00E51C47" w:rsidRDefault="00E51C47" w:rsidP="00D141D8">
      <w:pPr>
        <w:jc w:val="both"/>
      </w:pPr>
    </w:p>
    <w:p w14:paraId="39144C64" w14:textId="391FB51C" w:rsidR="00E51C47" w:rsidRDefault="00E51C47" w:rsidP="00D141D8">
      <w:pPr>
        <w:jc w:val="both"/>
      </w:pPr>
      <w:r>
        <w:t>El 23% de Bachelet si bien es una cifra en alza, analizada en la perspectiva de la contiende electoral, no es un capital politico relevante y factor decisivo para potenciar la continuidad de una opcion de centroizquierda..</w:t>
      </w:r>
    </w:p>
    <w:p w14:paraId="5A829899" w14:textId="77777777" w:rsidR="00FF6935" w:rsidRDefault="00FF6935" w:rsidP="00D141D8">
      <w:pPr>
        <w:jc w:val="both"/>
      </w:pPr>
    </w:p>
    <w:p w14:paraId="5F24FF92" w14:textId="47AF02AD" w:rsidR="00FF6935" w:rsidRPr="00FF6935" w:rsidRDefault="00FF6935" w:rsidP="00D141D8">
      <w:pPr>
        <w:jc w:val="both"/>
        <w:rPr>
          <w:b/>
        </w:rPr>
      </w:pPr>
      <w:r w:rsidRPr="00FF6935">
        <w:rPr>
          <w:b/>
        </w:rPr>
        <w:t>Grafico 3 : el ultimo año de los 5 gobiernos desde el 2000 al 2017</w:t>
      </w:r>
    </w:p>
    <w:p w14:paraId="30146CD6" w14:textId="77777777" w:rsidR="000A1D41" w:rsidRDefault="000A1D41" w:rsidP="00301D9B">
      <w:pPr>
        <w:rPr>
          <w:b/>
        </w:rPr>
      </w:pPr>
    </w:p>
    <w:p w14:paraId="1AA01DEB" w14:textId="5C70020F" w:rsidR="000A1D41" w:rsidRDefault="000A1D41" w:rsidP="00301D9B">
      <w:pPr>
        <w:rPr>
          <w:b/>
        </w:rPr>
      </w:pPr>
      <w:r>
        <w:rPr>
          <w:noProof/>
          <w:lang w:val="es-ES"/>
        </w:rPr>
        <w:drawing>
          <wp:inline distT="0" distB="0" distL="0" distR="0" wp14:anchorId="500BCEF1" wp14:editId="6BA1202E">
            <wp:extent cx="5832475" cy="2147570"/>
            <wp:effectExtent l="0" t="0" r="34925" b="368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A96774" w14:textId="25F29C6B" w:rsidR="000A1D41" w:rsidRDefault="000A1D41" w:rsidP="00301D9B">
      <w:pPr>
        <w:rPr>
          <w:i/>
          <w:sz w:val="22"/>
          <w:szCs w:val="22"/>
        </w:rPr>
      </w:pPr>
      <w:r w:rsidRPr="000A1D41">
        <w:rPr>
          <w:i/>
          <w:sz w:val="22"/>
          <w:szCs w:val="22"/>
        </w:rPr>
        <w:t>Elaborado en base a CEP/Sept/Oct/17</w:t>
      </w:r>
    </w:p>
    <w:p w14:paraId="313FF6B6" w14:textId="77777777" w:rsidR="00E7022A" w:rsidRDefault="00E7022A" w:rsidP="00301D9B">
      <w:pPr>
        <w:rPr>
          <w:i/>
          <w:sz w:val="22"/>
          <w:szCs w:val="22"/>
        </w:rPr>
      </w:pPr>
    </w:p>
    <w:p w14:paraId="5804AD68" w14:textId="541F5A56" w:rsidR="00E7022A" w:rsidRDefault="00E7022A" w:rsidP="00301D9B">
      <w:pPr>
        <w:rPr>
          <w:b/>
        </w:rPr>
      </w:pPr>
      <w:r w:rsidRPr="00E7022A">
        <w:rPr>
          <w:b/>
        </w:rPr>
        <w:t>El votante probable y el voto de rechazo</w:t>
      </w:r>
      <w:r w:rsidR="00CB2C40">
        <w:rPr>
          <w:b/>
        </w:rPr>
        <w:t>.</w:t>
      </w:r>
    </w:p>
    <w:p w14:paraId="0DACDB9A" w14:textId="58AB4089" w:rsidR="00E51C47" w:rsidRDefault="00E51C47" w:rsidP="00301D9B">
      <w:pPr>
        <w:rPr>
          <w:b/>
        </w:rPr>
      </w:pPr>
      <w:r>
        <w:rPr>
          <w:b/>
        </w:rPr>
        <w:t xml:space="preserve"> </w:t>
      </w:r>
    </w:p>
    <w:p w14:paraId="620AF022" w14:textId="64A6C92B" w:rsidR="00E51C47" w:rsidRDefault="00E51C47" w:rsidP="00647658">
      <w:pPr>
        <w:jc w:val="both"/>
      </w:pPr>
      <w:r>
        <w:t xml:space="preserve">Finalmente una mirada a la segunda vuelta, en los datos de la CEP, muestra un estancamiento de Piñera en cifras similares del voto urna y una </w:t>
      </w:r>
      <w:r w:rsidR="00647658">
        <w:t>tendencia a la baja de Guillier que pierde 4 puntos , de 31.1 en Julio /Agosto a un 27.2% en Octubre.Los 4 puntos que pierde</w:t>
      </w:r>
      <w:r w:rsidR="00CB2C40">
        <w:t xml:space="preserve"> Guillier</w:t>
      </w:r>
      <w:r w:rsidR="00647658">
        <w:t xml:space="preserve"> se van a engrosar el voto nulo y blanco que sube de un 29.4% a un 33.4. </w:t>
      </w:r>
    </w:p>
    <w:p w14:paraId="405F695E" w14:textId="77777777" w:rsidR="00647658" w:rsidRDefault="00647658" w:rsidP="00647658">
      <w:pPr>
        <w:jc w:val="both"/>
      </w:pPr>
    </w:p>
    <w:p w14:paraId="51D98AF4" w14:textId="77777777" w:rsidR="00CB2C40" w:rsidRDefault="00647658" w:rsidP="00647658">
      <w:pPr>
        <w:jc w:val="both"/>
      </w:pPr>
      <w:r w:rsidRPr="00CB2C40">
        <w:rPr>
          <w:b/>
        </w:rPr>
        <w:t>Este 33.4% es la votacion del desencanto y la carencia de liderazgos atractivos para un sector de la ciudadania, como asi tambien es el bolson de “</w:t>
      </w:r>
      <w:r w:rsidRPr="00CB2C40">
        <w:rPr>
          <w:b/>
          <w:i/>
        </w:rPr>
        <w:t>votos de fuga</w:t>
      </w:r>
      <w:r>
        <w:rPr>
          <w:i/>
        </w:rPr>
        <w:t>”,</w:t>
      </w:r>
      <w:r>
        <w:t xml:space="preserve"> de votantes de Goic y la DC, de Sanchez y el Frente Amplio y de Meo, que no estan dispuestos a votar por Guilllier. El 33 % de no votacion de ciudadania que esta disputes a acudir a las urnas es el reflejo de la dispersion y division de la centroizquierda. </w:t>
      </w:r>
    </w:p>
    <w:p w14:paraId="23685A71" w14:textId="77777777" w:rsidR="00CB2C40" w:rsidRDefault="00CB2C40" w:rsidP="00647658">
      <w:pPr>
        <w:jc w:val="both"/>
      </w:pPr>
    </w:p>
    <w:p w14:paraId="7385295C" w14:textId="54793EF6" w:rsidR="00647658" w:rsidRDefault="00CB2C40" w:rsidP="00647658">
      <w:pPr>
        <w:jc w:val="both"/>
      </w:pPr>
      <w:r>
        <w:t xml:space="preserve">Una de las claves de la segunda vuelta es el 33 de votante desencantado que siempre ha vitado y dispuesto a votar. El espacio movilizador de estos votantes se encuentra en la opciòn de Guillier mas que de Piñera, que ha logrado articular a toda la Derecha y el votante Kast se sumara a su opcion. Para impactar en este 33% de votante desencantado se requiere una estrategia diversificada centrada en la proyeccion de la imagen de unidad de la centroizquierda, de competitividad real exitosa y de tensión dramática para votar positivamente. Una de las claves será el acuerdo y encuentro con la DC . Si </w:t>
      </w:r>
      <w:r w:rsidR="00647658">
        <w:t>este factor critico se resolviera en un acuerdo de unidad podrìa minimizarse el voto del desencanto y voto fuga para tener a Guillier con mas opcion compètitiva en segunda vuelta.</w:t>
      </w:r>
    </w:p>
    <w:p w14:paraId="73D96CE7" w14:textId="77777777" w:rsidR="00647658" w:rsidRDefault="00647658" w:rsidP="00647658">
      <w:pPr>
        <w:jc w:val="both"/>
      </w:pPr>
    </w:p>
    <w:p w14:paraId="275A046E" w14:textId="7D2067C7" w:rsidR="00647658" w:rsidRPr="00647658" w:rsidRDefault="003E7238" w:rsidP="00647658">
      <w:pPr>
        <w:jc w:val="both"/>
        <w:rPr>
          <w:b/>
        </w:rPr>
      </w:pPr>
      <w:r>
        <w:rPr>
          <w:b/>
        </w:rPr>
        <w:t>Grafico 4 : E</w:t>
      </w:r>
      <w:bookmarkStart w:id="0" w:name="_GoBack"/>
      <w:bookmarkEnd w:id="0"/>
      <w:r w:rsidR="00647658" w:rsidRPr="00647658">
        <w:rPr>
          <w:b/>
        </w:rPr>
        <w:t>scenario de segunda vuelta y el tercio de voto nulo.</w:t>
      </w:r>
    </w:p>
    <w:p w14:paraId="205AD9E1" w14:textId="77777777" w:rsidR="00D82F4C" w:rsidRDefault="00D82F4C" w:rsidP="00301D9B">
      <w:pPr>
        <w:rPr>
          <w:b/>
        </w:rPr>
      </w:pPr>
    </w:p>
    <w:p w14:paraId="58654CF3" w14:textId="1874396B" w:rsidR="00D82F4C" w:rsidRDefault="00453487" w:rsidP="00301D9B">
      <w:pPr>
        <w:rPr>
          <w:b/>
        </w:rPr>
      </w:pPr>
      <w:r>
        <w:rPr>
          <w:noProof/>
          <w:lang w:val="es-ES"/>
        </w:rPr>
        <w:drawing>
          <wp:inline distT="0" distB="0" distL="0" distR="0" wp14:anchorId="3DCB6FA0" wp14:editId="4C3F1975">
            <wp:extent cx="5946775" cy="2057400"/>
            <wp:effectExtent l="0" t="0" r="22225" b="254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32CFD0" w14:textId="335B1F3A" w:rsidR="00453487" w:rsidRDefault="00453487" w:rsidP="00301D9B">
      <w:pPr>
        <w:rPr>
          <w:i/>
          <w:sz w:val="22"/>
          <w:szCs w:val="22"/>
        </w:rPr>
      </w:pPr>
      <w:r>
        <w:rPr>
          <w:b/>
          <w:i/>
          <w:sz w:val="22"/>
          <w:szCs w:val="22"/>
        </w:rPr>
        <w:t>El</w:t>
      </w:r>
      <w:r w:rsidRPr="00453487">
        <w:rPr>
          <w:i/>
          <w:sz w:val="22"/>
          <w:szCs w:val="22"/>
        </w:rPr>
        <w:t>aborado en base a CEP Sept/Oct. /17</w:t>
      </w:r>
    </w:p>
    <w:p w14:paraId="7733C2D1" w14:textId="77777777" w:rsidR="00647658" w:rsidRDefault="00647658" w:rsidP="00301D9B">
      <w:pPr>
        <w:rPr>
          <w:i/>
          <w:sz w:val="22"/>
          <w:szCs w:val="22"/>
        </w:rPr>
      </w:pPr>
    </w:p>
    <w:p w14:paraId="17C5B128" w14:textId="77777777" w:rsidR="00647658" w:rsidRDefault="00647658" w:rsidP="00301D9B">
      <w:pPr>
        <w:rPr>
          <w:i/>
          <w:sz w:val="22"/>
          <w:szCs w:val="22"/>
        </w:rPr>
      </w:pPr>
    </w:p>
    <w:p w14:paraId="162A0E4C" w14:textId="77777777" w:rsidR="00647658" w:rsidRDefault="00647658" w:rsidP="00301D9B">
      <w:pPr>
        <w:rPr>
          <w:i/>
          <w:sz w:val="22"/>
          <w:szCs w:val="22"/>
        </w:rPr>
      </w:pPr>
    </w:p>
    <w:p w14:paraId="66732704" w14:textId="469531DD" w:rsidR="00647658" w:rsidRPr="00453487" w:rsidRDefault="00CB2C40" w:rsidP="00301D9B">
      <w:pPr>
        <w:rPr>
          <w:i/>
          <w:sz w:val="22"/>
          <w:szCs w:val="22"/>
        </w:rPr>
      </w:pPr>
      <w:r>
        <w:rPr>
          <w:i/>
          <w:sz w:val="22"/>
          <w:szCs w:val="22"/>
        </w:rPr>
        <w:t>RPV/15</w:t>
      </w:r>
      <w:r w:rsidR="00647658">
        <w:rPr>
          <w:i/>
          <w:sz w:val="22"/>
          <w:szCs w:val="22"/>
        </w:rPr>
        <w:t>/11/17.</w:t>
      </w:r>
    </w:p>
    <w:sectPr w:rsidR="00647658" w:rsidRPr="00453487"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9B"/>
    <w:rsid w:val="000A1D41"/>
    <w:rsid w:val="00240305"/>
    <w:rsid w:val="00301D9B"/>
    <w:rsid w:val="00315D85"/>
    <w:rsid w:val="003E7238"/>
    <w:rsid w:val="00453487"/>
    <w:rsid w:val="0054286D"/>
    <w:rsid w:val="00647658"/>
    <w:rsid w:val="00826E51"/>
    <w:rsid w:val="00C176C3"/>
    <w:rsid w:val="00CB2C40"/>
    <w:rsid w:val="00D141D8"/>
    <w:rsid w:val="00D82F4C"/>
    <w:rsid w:val="00E51C47"/>
    <w:rsid w:val="00E7022A"/>
    <w:rsid w:val="00FF69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BD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01D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01D9B"/>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301D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1D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01D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01D9B"/>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301D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1D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cep%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cep%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cep%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cep%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Hoja1!$I$4:$I$5</c:f>
              <c:strCache>
                <c:ptCount val="1"/>
                <c:pt idx="0">
                  <c:v>Sit.eco.pais mala my mala</c:v>
                </c:pt>
              </c:strCache>
            </c:strRef>
          </c:tx>
          <c:marker>
            <c:symbol val="none"/>
          </c:marker>
          <c:dLbls>
            <c:txPr>
              <a:bodyPr/>
              <a:lstStyle/>
              <a:p>
                <a:pPr>
                  <a:defRPr b="1"/>
                </a:pPr>
                <a:endParaRPr lang="es-ES"/>
              </a:p>
            </c:txPr>
            <c:showLegendKey val="0"/>
            <c:showVal val="1"/>
            <c:showCatName val="0"/>
            <c:showSerName val="0"/>
            <c:showPercent val="0"/>
            <c:showBubbleSize val="0"/>
            <c:showLeaderLines val="0"/>
          </c:dLbls>
          <c:cat>
            <c:strRef>
              <c:f>Hoja1!$H$6:$H$11</c:f>
              <c:strCache>
                <c:ptCount val="5"/>
                <c:pt idx="0">
                  <c:v>ago-16</c:v>
                </c:pt>
                <c:pt idx="1">
                  <c:v>nov-16</c:v>
                </c:pt>
                <c:pt idx="2">
                  <c:v>Abril/May17</c:v>
                </c:pt>
                <c:pt idx="3">
                  <c:v>Julio/Ago 17</c:v>
                </c:pt>
                <c:pt idx="4">
                  <c:v>Sept/Oct 17</c:v>
                </c:pt>
              </c:strCache>
            </c:strRef>
          </c:cat>
          <c:val>
            <c:numRef>
              <c:f>Hoja1!$I$6:$I$11</c:f>
              <c:numCache>
                <c:formatCode>General</c:formatCode>
                <c:ptCount val="6"/>
                <c:pt idx="0">
                  <c:v>48.0</c:v>
                </c:pt>
                <c:pt idx="1">
                  <c:v>40.0</c:v>
                </c:pt>
                <c:pt idx="2">
                  <c:v>37.0</c:v>
                </c:pt>
                <c:pt idx="3">
                  <c:v>38.0</c:v>
                </c:pt>
                <c:pt idx="4">
                  <c:v>32.0</c:v>
                </c:pt>
              </c:numCache>
            </c:numRef>
          </c:val>
          <c:smooth val="0"/>
        </c:ser>
        <c:ser>
          <c:idx val="1"/>
          <c:order val="1"/>
          <c:tx>
            <c:strRef>
              <c:f>Hoja1!$J$4:$J$5</c:f>
              <c:strCache>
                <c:ptCount val="1"/>
                <c:pt idx="0">
                  <c:v>Sit.econ.pais mejorara 2018</c:v>
                </c:pt>
              </c:strCache>
            </c:strRef>
          </c:tx>
          <c:marker>
            <c:symbol val="none"/>
          </c:marker>
          <c:dLbls>
            <c:dLbl>
              <c:idx val="4"/>
              <c:layout>
                <c:manualLayout>
                  <c:x val="0.0"/>
                  <c:y val="0.0462962962962963"/>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Hoja1!$H$6:$H$11</c:f>
              <c:strCache>
                <c:ptCount val="5"/>
                <c:pt idx="0">
                  <c:v>ago-16</c:v>
                </c:pt>
                <c:pt idx="1">
                  <c:v>nov-16</c:v>
                </c:pt>
                <c:pt idx="2">
                  <c:v>Abril/May17</c:v>
                </c:pt>
                <c:pt idx="3">
                  <c:v>Julio/Ago 17</c:v>
                </c:pt>
                <c:pt idx="4">
                  <c:v>Sept/Oct 17</c:v>
                </c:pt>
              </c:strCache>
            </c:strRef>
          </c:cat>
          <c:val>
            <c:numRef>
              <c:f>Hoja1!$J$6:$J$11</c:f>
              <c:numCache>
                <c:formatCode>General</c:formatCode>
                <c:ptCount val="6"/>
                <c:pt idx="0">
                  <c:v>14.0</c:v>
                </c:pt>
                <c:pt idx="1">
                  <c:v>17.0</c:v>
                </c:pt>
                <c:pt idx="2">
                  <c:v>19.0</c:v>
                </c:pt>
                <c:pt idx="3">
                  <c:v>25.0</c:v>
                </c:pt>
                <c:pt idx="4">
                  <c:v>30.0</c:v>
                </c:pt>
              </c:numCache>
            </c:numRef>
          </c:val>
          <c:smooth val="0"/>
        </c:ser>
        <c:ser>
          <c:idx val="2"/>
          <c:order val="2"/>
          <c:tx>
            <c:strRef>
              <c:f>Hoja1!$K$4:$K$5</c:f>
              <c:strCache>
                <c:ptCount val="1"/>
                <c:pt idx="0">
                  <c:v>Sit.personal mejorara 2018</c:v>
                </c:pt>
              </c:strCache>
            </c:strRef>
          </c:tx>
          <c:marker>
            <c:symbol val="none"/>
          </c:marker>
          <c:dLbls>
            <c:dLbl>
              <c:idx val="4"/>
              <c:layout>
                <c:manualLayout>
                  <c:x val="0.0"/>
                  <c:y val="-0.0462962962962963"/>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Hoja1!$H$6:$H$11</c:f>
              <c:strCache>
                <c:ptCount val="5"/>
                <c:pt idx="0">
                  <c:v>ago-16</c:v>
                </c:pt>
                <c:pt idx="1">
                  <c:v>nov-16</c:v>
                </c:pt>
                <c:pt idx="2">
                  <c:v>Abril/May17</c:v>
                </c:pt>
                <c:pt idx="3">
                  <c:v>Julio/Ago 17</c:v>
                </c:pt>
                <c:pt idx="4">
                  <c:v>Sept/Oct 17</c:v>
                </c:pt>
              </c:strCache>
            </c:strRef>
          </c:cat>
          <c:val>
            <c:numRef>
              <c:f>Hoja1!$K$6:$K$11</c:f>
              <c:numCache>
                <c:formatCode>General</c:formatCode>
                <c:ptCount val="6"/>
                <c:pt idx="0">
                  <c:v>31.0</c:v>
                </c:pt>
                <c:pt idx="1">
                  <c:v>36.0</c:v>
                </c:pt>
                <c:pt idx="2">
                  <c:v>34.0</c:v>
                </c:pt>
                <c:pt idx="3">
                  <c:v>37.0</c:v>
                </c:pt>
                <c:pt idx="4">
                  <c:v>40.0</c:v>
                </c:pt>
              </c:numCache>
            </c:numRef>
          </c:val>
          <c:smooth val="0"/>
        </c:ser>
        <c:dLbls>
          <c:showLegendKey val="0"/>
          <c:showVal val="1"/>
          <c:showCatName val="0"/>
          <c:showSerName val="0"/>
          <c:showPercent val="0"/>
          <c:showBubbleSize val="0"/>
        </c:dLbls>
        <c:marker val="1"/>
        <c:smooth val="0"/>
        <c:axId val="-2128975816"/>
        <c:axId val="-2128972616"/>
      </c:lineChart>
      <c:catAx>
        <c:axId val="-2128975816"/>
        <c:scaling>
          <c:orientation val="minMax"/>
        </c:scaling>
        <c:delete val="0"/>
        <c:axPos val="b"/>
        <c:majorTickMark val="out"/>
        <c:minorTickMark val="none"/>
        <c:tickLblPos val="nextTo"/>
        <c:txPr>
          <a:bodyPr/>
          <a:lstStyle/>
          <a:p>
            <a:pPr>
              <a:defRPr sz="800" b="0"/>
            </a:pPr>
            <a:endParaRPr lang="es-ES"/>
          </a:p>
        </c:txPr>
        <c:crossAx val="-2128972616"/>
        <c:crosses val="autoZero"/>
        <c:auto val="1"/>
        <c:lblAlgn val="ctr"/>
        <c:lblOffset val="100"/>
        <c:noMultiLvlLbl val="0"/>
      </c:catAx>
      <c:valAx>
        <c:axId val="-2128972616"/>
        <c:scaling>
          <c:orientation val="minMax"/>
        </c:scaling>
        <c:delete val="0"/>
        <c:axPos val="l"/>
        <c:majorGridlines/>
        <c:numFmt formatCode="General" sourceLinked="1"/>
        <c:majorTickMark val="out"/>
        <c:minorTickMark val="none"/>
        <c:tickLblPos val="nextTo"/>
        <c:crossAx val="-2128975816"/>
        <c:crosses val="autoZero"/>
        <c:crossBetween val="between"/>
      </c:valAx>
      <c:spPr>
        <a:solidFill>
          <a:schemeClr val="bg2"/>
        </a:solidFill>
      </c:spPr>
    </c:plotArea>
    <c:legend>
      <c:legendPos val="r"/>
      <c:layout>
        <c:manualLayout>
          <c:xMode val="edge"/>
          <c:yMode val="edge"/>
          <c:x val="0.737106736657918"/>
          <c:y val="0.126802274715661"/>
          <c:w val="0.24067104111986"/>
          <c:h val="0.579728783902012"/>
        </c:manualLayout>
      </c:layout>
      <c:overlay val="0"/>
      <c:txPr>
        <a:bodyPr/>
        <a:lstStyle/>
        <a:p>
          <a:pPr>
            <a:defRPr sz="900"/>
          </a:pPr>
          <a:endParaRPr lang="es-ES"/>
        </a:p>
      </c:txPr>
    </c:legend>
    <c:plotVisOnly val="1"/>
    <c:dispBlanksAs val="gap"/>
    <c:showDLblsOverMax val="0"/>
  </c:chart>
  <c:spPr>
    <a:solidFill>
      <a:schemeClr val="accent3">
        <a:lumMod val="20000"/>
        <a:lumOff val="80000"/>
      </a:schemeClr>
    </a:solidFill>
    <a:ln>
      <a:solidFill>
        <a:srgbClr val="FFFFFF"/>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Hoja1!$I$29:$I$30</c:f>
              <c:strCache>
                <c:ptCount val="1"/>
                <c:pt idx="0">
                  <c:v>Izquierda</c:v>
                </c:pt>
              </c:strCache>
            </c:strRef>
          </c:tx>
          <c:marker>
            <c:symbol val="none"/>
          </c:marker>
          <c:dLbls>
            <c:dLbl>
              <c:idx val="0"/>
              <c:layout>
                <c:manualLayout>
                  <c:x val="-0.0444444444444444"/>
                  <c:y val="-0.0324074074074074"/>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Hoja1!$H$31:$H$35</c:f>
              <c:strCache>
                <c:ptCount val="3"/>
                <c:pt idx="0">
                  <c:v>Jul/ago 16</c:v>
                </c:pt>
                <c:pt idx="1">
                  <c:v>Jul Ago 17</c:v>
                </c:pt>
                <c:pt idx="2">
                  <c:v>Sept/Oct 17</c:v>
                </c:pt>
              </c:strCache>
            </c:strRef>
          </c:cat>
          <c:val>
            <c:numRef>
              <c:f>Hoja1!$I$31:$I$35</c:f>
              <c:numCache>
                <c:formatCode>General</c:formatCode>
                <c:ptCount val="5"/>
                <c:pt idx="0">
                  <c:v>21.0</c:v>
                </c:pt>
                <c:pt idx="1">
                  <c:v>20.0</c:v>
                </c:pt>
                <c:pt idx="2">
                  <c:v>10.0</c:v>
                </c:pt>
              </c:numCache>
            </c:numRef>
          </c:val>
          <c:smooth val="0"/>
        </c:ser>
        <c:ser>
          <c:idx val="1"/>
          <c:order val="1"/>
          <c:tx>
            <c:strRef>
              <c:f>Hoja1!$J$29:$J$30</c:f>
              <c:strCache>
                <c:ptCount val="1"/>
                <c:pt idx="0">
                  <c:v>derecha</c:v>
                </c:pt>
              </c:strCache>
            </c:strRef>
          </c:tx>
          <c:marker>
            <c:symbol val="none"/>
          </c:marker>
          <c:dLbls>
            <c:dLbl>
              <c:idx val="0"/>
              <c:layout>
                <c:manualLayout>
                  <c:x val="-0.0277777777777778"/>
                  <c:y val="0.0555555555555554"/>
                </c:manualLayout>
              </c:layout>
              <c:showLegendKey val="0"/>
              <c:showVal val="1"/>
              <c:showCatName val="0"/>
              <c:showSerName val="0"/>
              <c:showPercent val="0"/>
              <c:showBubbleSize val="0"/>
            </c:dLbl>
            <c:dLbl>
              <c:idx val="2"/>
              <c:layout>
                <c:manualLayout>
                  <c:x val="5.092533763208E-17"/>
                  <c:y val="-0.0324074074074074"/>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Hoja1!$H$31:$H$35</c:f>
              <c:strCache>
                <c:ptCount val="3"/>
                <c:pt idx="0">
                  <c:v>Jul/ago 16</c:v>
                </c:pt>
                <c:pt idx="1">
                  <c:v>Jul Ago 17</c:v>
                </c:pt>
                <c:pt idx="2">
                  <c:v>Sept/Oct 17</c:v>
                </c:pt>
              </c:strCache>
            </c:strRef>
          </c:cat>
          <c:val>
            <c:numRef>
              <c:f>Hoja1!$J$31:$J$35</c:f>
              <c:numCache>
                <c:formatCode>General</c:formatCode>
                <c:ptCount val="5"/>
                <c:pt idx="0">
                  <c:v>10.0</c:v>
                </c:pt>
                <c:pt idx="1">
                  <c:v>16.0</c:v>
                </c:pt>
                <c:pt idx="2">
                  <c:v>20.0</c:v>
                </c:pt>
              </c:numCache>
            </c:numRef>
          </c:val>
          <c:smooth val="0"/>
        </c:ser>
        <c:ser>
          <c:idx val="2"/>
          <c:order val="2"/>
          <c:tx>
            <c:strRef>
              <c:f>Hoja1!$K$29:$K$30</c:f>
              <c:strCache>
                <c:ptCount val="1"/>
                <c:pt idx="0">
                  <c:v>centro</c:v>
                </c:pt>
              </c:strCache>
            </c:strRef>
          </c:tx>
          <c:marker>
            <c:symbol val="none"/>
          </c:marker>
          <c:dLbls>
            <c:dLbl>
              <c:idx val="0"/>
              <c:layout>
                <c:manualLayout>
                  <c:x val="-0.0333333333333334"/>
                  <c:y val="0.037037037037037"/>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Hoja1!$H$31:$H$35</c:f>
              <c:strCache>
                <c:ptCount val="3"/>
                <c:pt idx="0">
                  <c:v>Jul/ago 16</c:v>
                </c:pt>
                <c:pt idx="1">
                  <c:v>Jul Ago 17</c:v>
                </c:pt>
                <c:pt idx="2">
                  <c:v>Sept/Oct 17</c:v>
                </c:pt>
              </c:strCache>
            </c:strRef>
          </c:cat>
          <c:val>
            <c:numRef>
              <c:f>Hoja1!$K$31:$K$35</c:f>
              <c:numCache>
                <c:formatCode>General</c:formatCode>
                <c:ptCount val="5"/>
                <c:pt idx="0">
                  <c:v>30.0</c:v>
                </c:pt>
                <c:pt idx="1">
                  <c:v>34.0</c:v>
                </c:pt>
                <c:pt idx="2">
                  <c:v>36.0</c:v>
                </c:pt>
              </c:numCache>
            </c:numRef>
          </c:val>
          <c:smooth val="0"/>
        </c:ser>
        <c:dLbls>
          <c:showLegendKey val="0"/>
          <c:showVal val="1"/>
          <c:showCatName val="0"/>
          <c:showSerName val="0"/>
          <c:showPercent val="0"/>
          <c:showBubbleSize val="0"/>
        </c:dLbls>
        <c:marker val="1"/>
        <c:smooth val="0"/>
        <c:axId val="-2128882312"/>
        <c:axId val="-2128879256"/>
      </c:lineChart>
      <c:catAx>
        <c:axId val="-2128882312"/>
        <c:scaling>
          <c:orientation val="minMax"/>
        </c:scaling>
        <c:delete val="0"/>
        <c:axPos val="b"/>
        <c:majorTickMark val="out"/>
        <c:minorTickMark val="none"/>
        <c:tickLblPos val="nextTo"/>
        <c:crossAx val="-2128879256"/>
        <c:crosses val="autoZero"/>
        <c:auto val="1"/>
        <c:lblAlgn val="ctr"/>
        <c:lblOffset val="100"/>
        <c:noMultiLvlLbl val="0"/>
      </c:catAx>
      <c:valAx>
        <c:axId val="-2128879256"/>
        <c:scaling>
          <c:orientation val="minMax"/>
        </c:scaling>
        <c:delete val="0"/>
        <c:axPos val="l"/>
        <c:majorGridlines/>
        <c:numFmt formatCode="General" sourceLinked="1"/>
        <c:majorTickMark val="out"/>
        <c:minorTickMark val="none"/>
        <c:tickLblPos val="nextTo"/>
        <c:crossAx val="-2128882312"/>
        <c:crosses val="autoZero"/>
        <c:crossBetween val="between"/>
      </c:valAx>
      <c:spPr>
        <a:solidFill>
          <a:schemeClr val="bg2"/>
        </a:solidFill>
      </c:spPr>
    </c:plotArea>
    <c:legend>
      <c:legendPos val="r"/>
      <c:layout>
        <c:manualLayout>
          <c:xMode val="edge"/>
          <c:yMode val="edge"/>
          <c:x val="0.803393700787402"/>
          <c:y val="0.355905511811024"/>
          <c:w val="0.193828521434821"/>
          <c:h val="0.278929352580927"/>
        </c:manualLayout>
      </c:layout>
      <c:overlay val="0"/>
      <c:txPr>
        <a:bodyPr/>
        <a:lstStyle/>
        <a:p>
          <a:pPr>
            <a:defRPr sz="800"/>
          </a:pPr>
          <a:endParaRPr lang="es-ES"/>
        </a:p>
      </c:txPr>
    </c:legend>
    <c:plotVisOnly val="1"/>
    <c:dispBlanksAs val="gap"/>
    <c:showDLblsOverMax val="0"/>
  </c:chart>
  <c:spPr>
    <a:solidFill>
      <a:schemeClr val="accent3">
        <a:lumMod val="20000"/>
        <a:lumOff val="80000"/>
      </a:schemeClr>
    </a:solidFill>
    <a:ln>
      <a:solidFill>
        <a:srgbClr val="FFFFFF"/>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Hoja1!$H$35:$H$36</c:f>
              <c:strCache>
                <c:ptCount val="1"/>
                <c:pt idx="0">
                  <c:v>Bachelet 05</c:v>
                </c:pt>
              </c:strCache>
            </c:strRef>
          </c:tx>
          <c:marker>
            <c:symbol val="none"/>
          </c:marker>
          <c:dLbls>
            <c:dLbl>
              <c:idx val="0"/>
              <c:layout>
                <c:manualLayout>
                  <c:x val="-0.05"/>
                  <c:y val="-0.037037037037037"/>
                </c:manualLayout>
              </c:layout>
              <c:showLegendKey val="0"/>
              <c:showVal val="1"/>
              <c:showCatName val="0"/>
              <c:showSerName val="0"/>
              <c:showPercent val="0"/>
              <c:showBubbleSize val="0"/>
            </c:dLbl>
            <c:dLbl>
              <c:idx val="1"/>
              <c:layout>
                <c:manualLayout>
                  <c:x val="-0.05"/>
                  <c:y val="-0.037037037037037"/>
                </c:manualLayout>
              </c:layout>
              <c:showLegendKey val="0"/>
              <c:showVal val="1"/>
              <c:showCatName val="0"/>
              <c:showSerName val="0"/>
              <c:showPercent val="0"/>
              <c:showBubbleSize val="0"/>
            </c:dLbl>
            <c:dLbl>
              <c:idx val="2"/>
              <c:layout>
                <c:manualLayout>
                  <c:x val="0.0"/>
                  <c:y val="-0.0138888888888889"/>
                </c:manualLayout>
              </c:layout>
              <c:spPr/>
              <c:txPr>
                <a:bodyPr/>
                <a:lstStyle/>
                <a:p>
                  <a:pPr>
                    <a:defRPr sz="1100" b="1"/>
                  </a:pPr>
                  <a:endParaRPr lang="es-ES"/>
                </a:p>
              </c:txPr>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Hoja1!$G$37:$G$40</c:f>
              <c:strCache>
                <c:ptCount val="3"/>
                <c:pt idx="0">
                  <c:v>Jun/Jul</c:v>
                </c:pt>
                <c:pt idx="1">
                  <c:v>Agosto</c:v>
                </c:pt>
                <c:pt idx="2">
                  <c:v>oct/nov</c:v>
                </c:pt>
              </c:strCache>
            </c:strRef>
          </c:cat>
          <c:val>
            <c:numRef>
              <c:f>Hoja1!$H$37:$H$40</c:f>
              <c:numCache>
                <c:formatCode>General</c:formatCode>
                <c:ptCount val="4"/>
                <c:pt idx="0">
                  <c:v>67.0</c:v>
                </c:pt>
                <c:pt idx="1">
                  <c:v>72.0</c:v>
                </c:pt>
                <c:pt idx="2">
                  <c:v>78.0</c:v>
                </c:pt>
              </c:numCache>
            </c:numRef>
          </c:val>
          <c:smooth val="0"/>
        </c:ser>
        <c:ser>
          <c:idx val="1"/>
          <c:order val="1"/>
          <c:tx>
            <c:strRef>
              <c:f>Hoja1!$I$35:$I$36</c:f>
              <c:strCache>
                <c:ptCount val="1"/>
                <c:pt idx="0">
                  <c:v>Lagos</c:v>
                </c:pt>
              </c:strCache>
            </c:strRef>
          </c:tx>
          <c:marker>
            <c:symbol val="none"/>
          </c:marker>
          <c:dLbls>
            <c:dLbl>
              <c:idx val="0"/>
              <c:layout>
                <c:manualLayout>
                  <c:x val="-0.0388891076115486"/>
                  <c:y val="0.0324074074074074"/>
                </c:manualLayout>
              </c:layout>
              <c:showLegendKey val="0"/>
              <c:showVal val="1"/>
              <c:showCatName val="0"/>
              <c:showSerName val="0"/>
              <c:showPercent val="0"/>
              <c:showBubbleSize val="0"/>
            </c:dLbl>
            <c:dLbl>
              <c:idx val="1"/>
              <c:layout>
                <c:manualLayout>
                  <c:x val="-0.00277777777777778"/>
                  <c:y val="0.0277777777777777"/>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Hoja1!$G$37:$G$40</c:f>
              <c:strCache>
                <c:ptCount val="3"/>
                <c:pt idx="0">
                  <c:v>Jun/Jul</c:v>
                </c:pt>
                <c:pt idx="1">
                  <c:v>Agosto</c:v>
                </c:pt>
                <c:pt idx="2">
                  <c:v>oct/nov</c:v>
                </c:pt>
              </c:strCache>
            </c:strRef>
          </c:cat>
          <c:val>
            <c:numRef>
              <c:f>Hoja1!$I$37:$I$40</c:f>
              <c:numCache>
                <c:formatCode>General</c:formatCode>
                <c:ptCount val="4"/>
                <c:pt idx="0">
                  <c:v>61.0</c:v>
                </c:pt>
                <c:pt idx="1">
                  <c:v>60.0</c:v>
                </c:pt>
                <c:pt idx="2">
                  <c:v>59.0</c:v>
                </c:pt>
              </c:numCache>
            </c:numRef>
          </c:val>
          <c:smooth val="0"/>
        </c:ser>
        <c:ser>
          <c:idx val="2"/>
          <c:order val="2"/>
          <c:tx>
            <c:strRef>
              <c:f>Hoja1!$J$35:$J$36</c:f>
              <c:strCache>
                <c:ptCount val="1"/>
                <c:pt idx="0">
                  <c:v>Pîñera</c:v>
                </c:pt>
              </c:strCache>
            </c:strRef>
          </c:tx>
          <c:marker>
            <c:symbol val="none"/>
          </c:marker>
          <c:dLbls>
            <c:dLbl>
              <c:idx val="1"/>
              <c:layout>
                <c:manualLayout>
                  <c:x val="-0.0611111111111111"/>
                  <c:y val="0.0138888888888889"/>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Hoja1!$G$37:$G$40</c:f>
              <c:strCache>
                <c:ptCount val="3"/>
                <c:pt idx="0">
                  <c:v>Jun/Jul</c:v>
                </c:pt>
                <c:pt idx="1">
                  <c:v>Agosto</c:v>
                </c:pt>
                <c:pt idx="2">
                  <c:v>oct/nov</c:v>
                </c:pt>
              </c:strCache>
            </c:strRef>
          </c:cat>
          <c:val>
            <c:numRef>
              <c:f>Hoja1!$J$37:$J$40</c:f>
              <c:numCache>
                <c:formatCode>General</c:formatCode>
                <c:ptCount val="4"/>
                <c:pt idx="1">
                  <c:v>32.0</c:v>
                </c:pt>
                <c:pt idx="2">
                  <c:v>34.0</c:v>
                </c:pt>
              </c:numCache>
            </c:numRef>
          </c:val>
          <c:smooth val="0"/>
        </c:ser>
        <c:ser>
          <c:idx val="3"/>
          <c:order val="3"/>
          <c:tx>
            <c:strRef>
              <c:f>Hoja1!$K$35:$K$36</c:f>
              <c:strCache>
                <c:ptCount val="1"/>
                <c:pt idx="0">
                  <c:v>Bachelet 17</c:v>
                </c:pt>
              </c:strCache>
            </c:strRef>
          </c:tx>
          <c:marker>
            <c:symbol val="none"/>
          </c:marker>
          <c:dLbls>
            <c:dLbl>
              <c:idx val="0"/>
              <c:layout>
                <c:manualLayout>
                  <c:x val="-0.0388888888888889"/>
                  <c:y val="0.0231481481481481"/>
                </c:manualLayout>
              </c:layout>
              <c:showLegendKey val="0"/>
              <c:showVal val="1"/>
              <c:showCatName val="0"/>
              <c:showSerName val="0"/>
              <c:showPercent val="0"/>
              <c:showBubbleSize val="0"/>
            </c:dLbl>
            <c:dLbl>
              <c:idx val="1"/>
              <c:layout>
                <c:manualLayout>
                  <c:x val="0.0"/>
                  <c:y val="0.0324074074074073"/>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Hoja1!$G$37:$G$40</c:f>
              <c:strCache>
                <c:ptCount val="3"/>
                <c:pt idx="0">
                  <c:v>Jun/Jul</c:v>
                </c:pt>
                <c:pt idx="1">
                  <c:v>Agosto</c:v>
                </c:pt>
                <c:pt idx="2">
                  <c:v>oct/nov</c:v>
                </c:pt>
              </c:strCache>
            </c:strRef>
          </c:cat>
          <c:val>
            <c:numRef>
              <c:f>Hoja1!$K$37:$K$40</c:f>
              <c:numCache>
                <c:formatCode>General</c:formatCode>
                <c:ptCount val="4"/>
                <c:pt idx="0">
                  <c:v>18.0</c:v>
                </c:pt>
                <c:pt idx="1">
                  <c:v>21.0</c:v>
                </c:pt>
                <c:pt idx="2">
                  <c:v>23.0</c:v>
                </c:pt>
              </c:numCache>
            </c:numRef>
          </c:val>
          <c:smooth val="0"/>
        </c:ser>
        <c:dLbls>
          <c:showLegendKey val="0"/>
          <c:showVal val="1"/>
          <c:showCatName val="0"/>
          <c:showSerName val="0"/>
          <c:showPercent val="0"/>
          <c:showBubbleSize val="0"/>
        </c:dLbls>
        <c:marker val="1"/>
        <c:smooth val="0"/>
        <c:axId val="-2128824280"/>
        <c:axId val="-2128821144"/>
      </c:lineChart>
      <c:catAx>
        <c:axId val="-2128824280"/>
        <c:scaling>
          <c:orientation val="minMax"/>
        </c:scaling>
        <c:delete val="0"/>
        <c:axPos val="b"/>
        <c:majorTickMark val="out"/>
        <c:minorTickMark val="none"/>
        <c:tickLblPos val="nextTo"/>
        <c:crossAx val="-2128821144"/>
        <c:crosses val="autoZero"/>
        <c:auto val="1"/>
        <c:lblAlgn val="ctr"/>
        <c:lblOffset val="100"/>
        <c:noMultiLvlLbl val="0"/>
      </c:catAx>
      <c:valAx>
        <c:axId val="-2128821144"/>
        <c:scaling>
          <c:orientation val="minMax"/>
        </c:scaling>
        <c:delete val="0"/>
        <c:axPos val="l"/>
        <c:majorGridlines/>
        <c:numFmt formatCode="General" sourceLinked="1"/>
        <c:majorTickMark val="out"/>
        <c:minorTickMark val="none"/>
        <c:tickLblPos val="nextTo"/>
        <c:crossAx val="-2128824280"/>
        <c:crosses val="autoZero"/>
        <c:crossBetween val="between"/>
      </c:valAx>
      <c:spPr>
        <a:solidFill>
          <a:schemeClr val="bg2"/>
        </a:solidFill>
      </c:spPr>
    </c:plotArea>
    <c:legend>
      <c:legendPos val="r"/>
      <c:layout/>
      <c:overlay val="0"/>
      <c:txPr>
        <a:bodyPr/>
        <a:lstStyle/>
        <a:p>
          <a:pPr>
            <a:defRPr sz="900" b="0"/>
          </a:pPr>
          <a:endParaRPr lang="es-ES"/>
        </a:p>
      </c:txPr>
    </c:legend>
    <c:plotVisOnly val="1"/>
    <c:dispBlanksAs val="gap"/>
    <c:showDLblsOverMax val="0"/>
  </c:chart>
  <c:spPr>
    <a:solidFill>
      <a:schemeClr val="accent3">
        <a:lumMod val="20000"/>
        <a:lumOff val="80000"/>
      </a:schemeClr>
    </a:solidFill>
    <a:ln>
      <a:solidFill>
        <a:srgbClr val="FFFFFF"/>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'[base datos cep 2017.xlsx]Hoja1'!$H$44:$H$45</c:f>
              <c:strCache>
                <c:ptCount val="1"/>
                <c:pt idx="0">
                  <c:v>Voto nulo</c:v>
                </c:pt>
              </c:strCache>
            </c:strRef>
          </c:tx>
          <c:marker>
            <c:symbol val="none"/>
          </c:marker>
          <c:dLbls>
            <c:dLbl>
              <c:idx val="0"/>
              <c:layout>
                <c:manualLayout>
                  <c:x val="-0.0583333333333333"/>
                  <c:y val="0.0462962962962962"/>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'[base datos cep 2017.xlsx]Hoja1'!$G$46:$G$48</c:f>
              <c:strCache>
                <c:ptCount val="2"/>
                <c:pt idx="0">
                  <c:v>Jul/Agosto</c:v>
                </c:pt>
                <c:pt idx="1">
                  <c:v>Sept.Oct</c:v>
                </c:pt>
              </c:strCache>
            </c:strRef>
          </c:cat>
          <c:val>
            <c:numRef>
              <c:f>'[base datos cep 2017.xlsx]Hoja1'!$H$46:$H$48</c:f>
              <c:numCache>
                <c:formatCode>General</c:formatCode>
                <c:ptCount val="3"/>
                <c:pt idx="0">
                  <c:v>29.4</c:v>
                </c:pt>
                <c:pt idx="1">
                  <c:v>33.4</c:v>
                </c:pt>
              </c:numCache>
            </c:numRef>
          </c:val>
          <c:smooth val="0"/>
        </c:ser>
        <c:ser>
          <c:idx val="1"/>
          <c:order val="1"/>
          <c:tx>
            <c:strRef>
              <c:f>'[base datos cep 2017.xlsx]Hoja1'!$I$44:$I$45</c:f>
              <c:strCache>
                <c:ptCount val="1"/>
                <c:pt idx="0">
                  <c:v>Spiñera</c:v>
                </c:pt>
              </c:strCache>
            </c:strRef>
          </c:tx>
          <c:marker>
            <c:symbol val="none"/>
          </c:marker>
          <c:dLbls>
            <c:dLbl>
              <c:idx val="0"/>
              <c:layout>
                <c:manualLayout>
                  <c:x val="-0.0805555555555555"/>
                  <c:y val="-0.00925925925925926"/>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'[base datos cep 2017.xlsx]Hoja1'!$G$46:$G$48</c:f>
              <c:strCache>
                <c:ptCount val="2"/>
                <c:pt idx="0">
                  <c:v>Jul/Agosto</c:v>
                </c:pt>
                <c:pt idx="1">
                  <c:v>Sept.Oct</c:v>
                </c:pt>
              </c:strCache>
            </c:strRef>
          </c:cat>
          <c:val>
            <c:numRef>
              <c:f>'[base datos cep 2017.xlsx]Hoja1'!$I$46:$I$48</c:f>
              <c:numCache>
                <c:formatCode>General</c:formatCode>
                <c:ptCount val="3"/>
                <c:pt idx="0">
                  <c:v>39.5</c:v>
                </c:pt>
                <c:pt idx="1">
                  <c:v>39.4</c:v>
                </c:pt>
              </c:numCache>
            </c:numRef>
          </c:val>
          <c:smooth val="0"/>
        </c:ser>
        <c:ser>
          <c:idx val="2"/>
          <c:order val="2"/>
          <c:tx>
            <c:strRef>
              <c:f>'[base datos cep 2017.xlsx]Hoja1'!$J$44:$J$45</c:f>
              <c:strCache>
                <c:ptCount val="1"/>
                <c:pt idx="0">
                  <c:v>Aguillier</c:v>
                </c:pt>
              </c:strCache>
            </c:strRef>
          </c:tx>
          <c:marker>
            <c:symbol val="none"/>
          </c:marker>
          <c:dLbls>
            <c:dLbl>
              <c:idx val="0"/>
              <c:layout>
                <c:manualLayout>
                  <c:x val="-0.0611111111111111"/>
                  <c:y val="-0.0231481481481481"/>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'[base datos cep 2017.xlsx]Hoja1'!$G$46:$G$48</c:f>
              <c:strCache>
                <c:ptCount val="2"/>
                <c:pt idx="0">
                  <c:v>Jul/Agosto</c:v>
                </c:pt>
                <c:pt idx="1">
                  <c:v>Sept.Oct</c:v>
                </c:pt>
              </c:strCache>
            </c:strRef>
          </c:cat>
          <c:val>
            <c:numRef>
              <c:f>'[base datos cep 2017.xlsx]Hoja1'!$J$46:$J$48</c:f>
              <c:numCache>
                <c:formatCode>General</c:formatCode>
                <c:ptCount val="3"/>
                <c:pt idx="0">
                  <c:v>31.1</c:v>
                </c:pt>
                <c:pt idx="1">
                  <c:v>27.2</c:v>
                </c:pt>
              </c:numCache>
            </c:numRef>
          </c:val>
          <c:smooth val="0"/>
        </c:ser>
        <c:dLbls>
          <c:showLegendKey val="0"/>
          <c:showVal val="1"/>
          <c:showCatName val="0"/>
          <c:showSerName val="0"/>
          <c:showPercent val="0"/>
          <c:showBubbleSize val="0"/>
        </c:dLbls>
        <c:marker val="1"/>
        <c:smooth val="0"/>
        <c:axId val="-2128785784"/>
        <c:axId val="-2128782728"/>
      </c:lineChart>
      <c:catAx>
        <c:axId val="-2128785784"/>
        <c:scaling>
          <c:orientation val="minMax"/>
        </c:scaling>
        <c:delete val="0"/>
        <c:axPos val="b"/>
        <c:majorTickMark val="out"/>
        <c:minorTickMark val="none"/>
        <c:tickLblPos val="nextTo"/>
        <c:crossAx val="-2128782728"/>
        <c:crosses val="autoZero"/>
        <c:auto val="1"/>
        <c:lblAlgn val="ctr"/>
        <c:lblOffset val="100"/>
        <c:noMultiLvlLbl val="0"/>
      </c:catAx>
      <c:valAx>
        <c:axId val="-2128782728"/>
        <c:scaling>
          <c:orientation val="minMax"/>
        </c:scaling>
        <c:delete val="0"/>
        <c:axPos val="l"/>
        <c:majorGridlines/>
        <c:numFmt formatCode="General" sourceLinked="1"/>
        <c:majorTickMark val="out"/>
        <c:minorTickMark val="none"/>
        <c:tickLblPos val="nextTo"/>
        <c:crossAx val="-2128785784"/>
        <c:crosses val="autoZero"/>
        <c:crossBetween val="between"/>
      </c:valAx>
      <c:spPr>
        <a:solidFill>
          <a:schemeClr val="bg2"/>
        </a:solidFill>
      </c:spPr>
    </c:plotArea>
    <c:legend>
      <c:legendPos val="r"/>
      <c:layout/>
      <c:overlay val="0"/>
      <c:txPr>
        <a:bodyPr/>
        <a:lstStyle/>
        <a:p>
          <a:pPr>
            <a:defRPr sz="900"/>
          </a:pPr>
          <a:endParaRPr lang="es-ES"/>
        </a:p>
      </c:txPr>
    </c:legend>
    <c:plotVisOnly val="1"/>
    <c:dispBlanksAs val="gap"/>
    <c:showDLblsOverMax val="0"/>
  </c:chart>
  <c:spPr>
    <a:solidFill>
      <a:schemeClr val="accent3">
        <a:lumMod val="20000"/>
        <a:lumOff val="80000"/>
      </a:schemeClr>
    </a:solidFill>
    <a:ln>
      <a:solidFill>
        <a:srgbClr val="FFFFFF"/>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1001</Words>
  <Characters>5507</Characters>
  <Application>Microsoft Macintosh Word</Application>
  <DocSecurity>0</DocSecurity>
  <Lines>45</Lines>
  <Paragraphs>12</Paragraphs>
  <ScaleCrop>false</ScaleCrop>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4</cp:revision>
  <dcterms:created xsi:type="dcterms:W3CDTF">2017-11-07T14:40:00Z</dcterms:created>
  <dcterms:modified xsi:type="dcterms:W3CDTF">2017-11-13T13:11:00Z</dcterms:modified>
</cp:coreProperties>
</file>