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3F3D" w14:textId="5F9348FC" w:rsidR="00072561" w:rsidRPr="00ED2282" w:rsidRDefault="003E4C92" w:rsidP="003E4C92">
      <w:pPr>
        <w:pStyle w:val="Ttulo"/>
        <w:jc w:val="both"/>
        <w:rPr>
          <w:b/>
          <w:sz w:val="36"/>
          <w:szCs w:val="36"/>
        </w:rPr>
      </w:pPr>
      <w:r>
        <w:rPr>
          <w:b/>
          <w:sz w:val="32"/>
          <w:szCs w:val="32"/>
        </w:rPr>
        <w:t xml:space="preserve">Debut de la </w:t>
      </w:r>
      <w:r w:rsidR="00A5518B" w:rsidRPr="000B003B">
        <w:rPr>
          <w:b/>
          <w:sz w:val="32"/>
          <w:szCs w:val="32"/>
        </w:rPr>
        <w:t>nueva ley electoral</w:t>
      </w:r>
      <w:r>
        <w:rPr>
          <w:b/>
          <w:sz w:val="32"/>
          <w:szCs w:val="32"/>
        </w:rPr>
        <w:t xml:space="preserve"> 20.840</w:t>
      </w:r>
      <w:r w:rsidR="00A5518B" w:rsidRPr="000B003B">
        <w:rPr>
          <w:b/>
          <w:sz w:val="32"/>
          <w:szCs w:val="32"/>
        </w:rPr>
        <w:t xml:space="preserve"> </w:t>
      </w:r>
      <w:r>
        <w:rPr>
          <w:b/>
          <w:sz w:val="32"/>
          <w:szCs w:val="32"/>
        </w:rPr>
        <w:t>y</w:t>
      </w:r>
      <w:r w:rsidR="000B003B" w:rsidRPr="000B003B">
        <w:rPr>
          <w:b/>
          <w:sz w:val="32"/>
          <w:szCs w:val="32"/>
        </w:rPr>
        <w:t xml:space="preserve"> </w:t>
      </w:r>
      <w:r w:rsidR="00A5518B" w:rsidRPr="000B003B">
        <w:rPr>
          <w:b/>
          <w:sz w:val="32"/>
          <w:szCs w:val="32"/>
        </w:rPr>
        <w:t>aplicación de la ley de cuotas en las elecciones de Noviembre de 2017</w:t>
      </w:r>
      <w:r w:rsidR="00ED2282">
        <w:rPr>
          <w:b/>
          <w:sz w:val="24"/>
          <w:szCs w:val="24"/>
        </w:rPr>
        <w:t xml:space="preserve"> </w:t>
      </w:r>
      <w:r w:rsidR="000B003B">
        <w:rPr>
          <w:b/>
          <w:sz w:val="24"/>
          <w:szCs w:val="24"/>
        </w:rPr>
        <w:t xml:space="preserve">                        </w:t>
      </w:r>
    </w:p>
    <w:p w14:paraId="1F089BD6" w14:textId="77777777" w:rsidR="00ED2282" w:rsidRDefault="00ED2282" w:rsidP="001915B0">
      <w:pPr>
        <w:jc w:val="both"/>
      </w:pPr>
    </w:p>
    <w:p w14:paraId="7DA5931F" w14:textId="7B230E3A" w:rsidR="001915B0" w:rsidRPr="00552FF6" w:rsidRDefault="001915B0" w:rsidP="001915B0">
      <w:pPr>
        <w:jc w:val="both"/>
      </w:pPr>
      <w:r w:rsidRPr="00552FF6">
        <w:t>La elección presidencial del 19 de Noviembre se realizó con el debut del sistema electoral proporcional moderado que sustituyó al regimen electoral binominal, heredado del regimen militar. La nueva modalidad de representación ciudadana en el Congreso generó cambios en sl sistema político y el Parlamento, que constituyen un elemento clave del termino de la transición política . Analizaremos</w:t>
      </w:r>
      <w:r w:rsidR="00235ADC">
        <w:t xml:space="preserve"> el i</w:t>
      </w:r>
      <w:r w:rsidR="003E4C92">
        <w:t>mpacto de la ley de cuotas en la instalación del</w:t>
      </w:r>
      <w:r w:rsidR="00235ADC">
        <w:t xml:space="preserve"> nuevo Congreso</w:t>
      </w:r>
      <w:r w:rsidRPr="00552FF6">
        <w:t xml:space="preserve"> </w:t>
      </w:r>
      <w:r w:rsidR="003E4C92">
        <w:t>y sistema político</w:t>
      </w:r>
      <w:r w:rsidR="000B003B">
        <w:t>.</w:t>
      </w:r>
    </w:p>
    <w:p w14:paraId="0F8AE074" w14:textId="77777777" w:rsidR="00414FAE" w:rsidRPr="00414FAE" w:rsidRDefault="00414FAE" w:rsidP="00414FAE">
      <w:pPr>
        <w:jc w:val="both"/>
        <w:rPr>
          <w:i/>
          <w:sz w:val="22"/>
          <w:szCs w:val="22"/>
        </w:rPr>
      </w:pPr>
    </w:p>
    <w:p w14:paraId="116FCE3C" w14:textId="77777777" w:rsidR="00622475" w:rsidRDefault="00622475" w:rsidP="00622475">
      <w:pPr>
        <w:rPr>
          <w:b/>
          <w:sz w:val="28"/>
          <w:szCs w:val="28"/>
        </w:rPr>
      </w:pPr>
      <w:r w:rsidRPr="00246C30">
        <w:rPr>
          <w:b/>
          <w:sz w:val="28"/>
          <w:szCs w:val="28"/>
        </w:rPr>
        <w:t>El</w:t>
      </w:r>
      <w:r w:rsidR="00414FAE" w:rsidRPr="00246C30">
        <w:rPr>
          <w:b/>
          <w:sz w:val="28"/>
          <w:szCs w:val="28"/>
        </w:rPr>
        <w:t xml:space="preserve"> debut de la ley de cuotas : participacion y brecha de efectividad.</w:t>
      </w:r>
    </w:p>
    <w:p w14:paraId="5ED2EC50" w14:textId="77777777" w:rsidR="00072561" w:rsidRDefault="00072561" w:rsidP="00622475">
      <w:pPr>
        <w:rPr>
          <w:b/>
          <w:sz w:val="28"/>
          <w:szCs w:val="28"/>
        </w:rPr>
      </w:pPr>
    </w:p>
    <w:p w14:paraId="09477D63" w14:textId="44E20C43" w:rsidR="00622475" w:rsidRDefault="00072561" w:rsidP="00072561">
      <w:pPr>
        <w:jc w:val="both"/>
      </w:pPr>
      <w:r>
        <w:t>En la trami</w:t>
      </w:r>
      <w:r w:rsidR="003E4C92">
        <w:t xml:space="preserve">tación de la reforma electoral - </w:t>
      </w:r>
      <w:r>
        <w:t>a petición expresa de la Presidenta de la República</w:t>
      </w:r>
      <w:r w:rsidR="003E4C92">
        <w:t xml:space="preserve"> -</w:t>
      </w:r>
      <w:r>
        <w:t xml:space="preserve"> se introdujo la ley de cuota</w:t>
      </w:r>
      <w:r w:rsidR="003E4C92">
        <w:t>s</w:t>
      </w:r>
      <w:r>
        <w:t>, con un 40% de exigencia de incorporación de candidaturas femeninas en las listas de los partidos. El debate de la epoca en el tramite legislativo, intentó analizar una opcion de gradualismo en la aplicacion de la cuotas (30% el 2017 hasta un llegar a un 40</w:t>
      </w:r>
      <w:r w:rsidR="003E4C92">
        <w:t xml:space="preserve">% el 2028), que no tuvo viabilidad </w:t>
      </w:r>
      <w:r w:rsidR="00770274">
        <w:t>por la decisió</w:t>
      </w:r>
      <w:r>
        <w:t>n presidencial</w:t>
      </w:r>
      <w:r w:rsidR="00770274">
        <w:t xml:space="preserve"> de establecer </w:t>
      </w:r>
      <w:r w:rsidR="003E4C92">
        <w:t xml:space="preserve">desde un inicio </w:t>
      </w:r>
      <w:r w:rsidR="00770274">
        <w:t>la cuota del 40%</w:t>
      </w:r>
      <w:r>
        <w:t xml:space="preserve">. Así también en el debate parlamentario se analizó la relación entre la cuota y </w:t>
      </w:r>
      <w:r w:rsidR="0092456B">
        <w:t xml:space="preserve">la </w:t>
      </w:r>
      <w:r>
        <w:t xml:space="preserve">representacion efectiva de las mujeres, a la luz de la experiencia internacional, para acotar la brecha de efectividad, sin embargo en lo sustantivo el tema quedó pendiente a ser evaluado con la aplicación de ley </w:t>
      </w:r>
      <w:r w:rsidR="00235ADC">
        <w:t>.</w:t>
      </w:r>
    </w:p>
    <w:p w14:paraId="16A1EB2D" w14:textId="77777777" w:rsidR="00622475" w:rsidRDefault="00622475" w:rsidP="00622475"/>
    <w:p w14:paraId="66342820" w14:textId="7C2D66FA" w:rsidR="00DA0212" w:rsidRPr="00770274" w:rsidRDefault="003E4C92" w:rsidP="003C4E38">
      <w:pPr>
        <w:jc w:val="both"/>
      </w:pPr>
      <w:r w:rsidRPr="003E4C92">
        <w:rPr>
          <w:b/>
        </w:rPr>
        <w:t>C</w:t>
      </w:r>
      <w:r w:rsidR="00072561" w:rsidRPr="003E4C92">
        <w:rPr>
          <w:b/>
        </w:rPr>
        <w:t>on la nueva ley se produjo un aumen</w:t>
      </w:r>
      <w:r>
        <w:rPr>
          <w:b/>
        </w:rPr>
        <w:t>to sustantivo de la participació</w:t>
      </w:r>
      <w:r w:rsidR="00072561" w:rsidRPr="003E4C92">
        <w:rPr>
          <w:b/>
        </w:rPr>
        <w:t xml:space="preserve">n de candidatas mujeres </w:t>
      </w:r>
      <w:r w:rsidR="001A547B" w:rsidRPr="003E4C92">
        <w:rPr>
          <w:b/>
        </w:rPr>
        <w:t>en el Congreso</w:t>
      </w:r>
      <w:r w:rsidR="001A547B">
        <w:t xml:space="preserve"> : de un promedio</w:t>
      </w:r>
      <w:r w:rsidR="00072561">
        <w:t xml:space="preserve"> 80 mujeres candidatas en los últimos 10 años se subió a la extraordinaria cifra de 415</w:t>
      </w:r>
      <w:r w:rsidR="001A547B">
        <w:t xml:space="preserve"> mujeres candidatas al Congreso. </w:t>
      </w:r>
      <w:r w:rsidR="00072561">
        <w:t xml:space="preserve">Como se preveía, una gran mayoría de candidatas fueron presentadas por los partidos para cumplir con la ley, ubicadas en posiciones de baja visibilidad en la papeleta, sin apoyo de equipos ni recursos.Sin embargo este contingente femenino de 400 candidatas </w:t>
      </w:r>
      <w:r w:rsidR="003C4E38">
        <w:t xml:space="preserve">, con experiencia </w:t>
      </w:r>
      <w:r>
        <w:t>de una primera campaña , tenderá</w:t>
      </w:r>
      <w:r w:rsidR="0092456B">
        <w:t xml:space="preserve"> a transformar la pa</w:t>
      </w:r>
      <w:r w:rsidR="003C4E38">
        <w:t>rticipación en elecciòn efectiva en las proximas elecciones, abriendo paso progresivamente a un Congreso con aumento</w:t>
      </w:r>
      <w:r w:rsidR="00DA0212">
        <w:t xml:space="preserve"> de la participacion de mujeres. Como señala Marcela Ríos del PNUD , en su valoraciòn de la ley de cuotas en </w:t>
      </w:r>
      <w:r w:rsidR="0092456B">
        <w:t>el marco del nuevo ré</w:t>
      </w:r>
      <w:r w:rsidR="00DA0212">
        <w:t xml:space="preserve">gimen electoral ,” </w:t>
      </w:r>
      <w:r w:rsidR="00770274">
        <w:t>..</w:t>
      </w:r>
      <w:r w:rsidR="00DA0212" w:rsidRPr="003E4C92">
        <w:rPr>
          <w:b/>
          <w:i/>
        </w:rPr>
        <w:t>es un efecto positivo de la cuota</w:t>
      </w:r>
      <w:r w:rsidR="00770274" w:rsidRPr="003E4C92">
        <w:rPr>
          <w:b/>
          <w:i/>
        </w:rPr>
        <w:t>s</w:t>
      </w:r>
      <w:r w:rsidR="00DA0212">
        <w:rPr>
          <w:i/>
        </w:rPr>
        <w:t>..entre el 89 y el 2013 el ritmo de aumento era de 2.5% por elecciòn, en 20 años se había ll</w:t>
      </w:r>
      <w:r>
        <w:rPr>
          <w:i/>
        </w:rPr>
        <w:t>egado al 15%: hoy se dió un sal</w:t>
      </w:r>
      <w:r w:rsidR="00DA0212">
        <w:rPr>
          <w:i/>
        </w:rPr>
        <w:t>to de casi 10 puntos porcentuales”,</w:t>
      </w:r>
      <w:r w:rsidR="00DA0212">
        <w:t>llegando a un  23% en el Senado y un 22.5% en la Cámara</w:t>
      </w:r>
      <w:r w:rsidR="0092456B">
        <w:rPr>
          <w:i/>
          <w:sz w:val="22"/>
          <w:szCs w:val="22"/>
        </w:rPr>
        <w:t xml:space="preserve">. </w:t>
      </w:r>
      <w:r w:rsidR="00DA0212" w:rsidRPr="00DA0212">
        <w:rPr>
          <w:i/>
          <w:sz w:val="22"/>
          <w:szCs w:val="22"/>
        </w:rPr>
        <w:t>(Cit.T13/20/11/17)</w:t>
      </w:r>
      <w:r w:rsidR="00770274">
        <w:rPr>
          <w:i/>
          <w:sz w:val="22"/>
          <w:szCs w:val="22"/>
        </w:rPr>
        <w:t xml:space="preserve">. </w:t>
      </w:r>
    </w:p>
    <w:p w14:paraId="71BEDF8B" w14:textId="77777777" w:rsidR="003C4E38" w:rsidRDefault="003C4E38" w:rsidP="00622475"/>
    <w:p w14:paraId="5FF7954D" w14:textId="1C7C7DA7" w:rsidR="00ED2282" w:rsidRDefault="003C4E38" w:rsidP="00246C30">
      <w:pPr>
        <w:jc w:val="both"/>
      </w:pPr>
      <w:r>
        <w:t>La</w:t>
      </w:r>
      <w:r w:rsidRPr="003C4E38">
        <w:rPr>
          <w:b/>
        </w:rPr>
        <w:t xml:space="preserve"> tendencia previsible es que la cantidad devenga en calidad representativa </w:t>
      </w:r>
      <w:r>
        <w:t>; que de las 400 mujeres candidatas aumente el numero de electas y cambie la proporcionalidad de la participacion efe</w:t>
      </w:r>
      <w:r w:rsidR="00ED2282">
        <w:t>ctiva de la mujer en el Congres</w:t>
      </w:r>
      <w:r w:rsidR="00235ADC">
        <w:t>o.</w:t>
      </w:r>
    </w:p>
    <w:p w14:paraId="3F3983A7" w14:textId="77777777" w:rsidR="00235ADC" w:rsidRDefault="00235ADC" w:rsidP="00246C30">
      <w:pPr>
        <w:jc w:val="both"/>
      </w:pPr>
    </w:p>
    <w:p w14:paraId="40DEBB1E" w14:textId="10B0641B" w:rsidR="00246C30" w:rsidRPr="00ED2282" w:rsidRDefault="003E4C92" w:rsidP="00246C30">
      <w:pPr>
        <w:jc w:val="both"/>
      </w:pPr>
      <w:r>
        <w:rPr>
          <w:b/>
        </w:rPr>
        <w:lastRenderedPageBreak/>
        <w:t>Grafico 2. L</w:t>
      </w:r>
      <w:r w:rsidR="00414FAE" w:rsidRPr="00246C30">
        <w:rPr>
          <w:b/>
        </w:rPr>
        <w:t>a participacion de candidatas mujere</w:t>
      </w:r>
      <w:r w:rsidR="00246C30" w:rsidRPr="00246C30">
        <w:rPr>
          <w:b/>
        </w:rPr>
        <w:t>s en la Cámara de Dip</w:t>
      </w:r>
      <w:r w:rsidR="00414FAE" w:rsidRPr="00246C30">
        <w:rPr>
          <w:b/>
        </w:rPr>
        <w:t>utados 1989-2017</w:t>
      </w:r>
    </w:p>
    <w:p w14:paraId="653FA8CF" w14:textId="76EF0BE1" w:rsidR="00622475" w:rsidRDefault="00622475" w:rsidP="00622475"/>
    <w:p w14:paraId="7BD4A9B7" w14:textId="7C011889" w:rsidR="0022008E" w:rsidRDefault="00ED2282" w:rsidP="00622475">
      <w:pPr>
        <w:rPr>
          <w:i/>
          <w:sz w:val="20"/>
          <w:szCs w:val="20"/>
        </w:rPr>
      </w:pPr>
      <w:r>
        <w:rPr>
          <w:noProof/>
          <w:lang w:val="es-ES"/>
        </w:rPr>
        <w:drawing>
          <wp:inline distT="0" distB="0" distL="0" distR="0" wp14:anchorId="7C334C85" wp14:editId="03DC618E">
            <wp:extent cx="5603875" cy="200914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82B227B" w14:textId="77777777" w:rsidR="003E4C92" w:rsidRPr="00414FAE" w:rsidRDefault="003E4C92" w:rsidP="003E4C92">
      <w:pPr>
        <w:jc w:val="both"/>
        <w:rPr>
          <w:i/>
          <w:sz w:val="22"/>
          <w:szCs w:val="22"/>
        </w:rPr>
      </w:pPr>
      <w:r w:rsidRPr="00414FAE">
        <w:rPr>
          <w:i/>
          <w:sz w:val="22"/>
          <w:szCs w:val="22"/>
        </w:rPr>
        <w:t>Elaborado en base a datos Cox,Loreto;Gonzalez Ricardo, Punto de Referencia 471 “ Las elecciones 2017 en frío.El dìas despues”, CepChile/22/11/17</w:t>
      </w:r>
    </w:p>
    <w:p w14:paraId="511729F1" w14:textId="77B01B89" w:rsidR="00ED2282" w:rsidRPr="0022008E" w:rsidRDefault="00ED2282" w:rsidP="00622475">
      <w:pPr>
        <w:rPr>
          <w:i/>
          <w:sz w:val="20"/>
          <w:szCs w:val="20"/>
        </w:rPr>
      </w:pPr>
    </w:p>
    <w:p w14:paraId="2C88C520" w14:textId="020AA734" w:rsidR="003C4E38" w:rsidRDefault="00557345" w:rsidP="00770274">
      <w:pPr>
        <w:jc w:val="both"/>
      </w:pPr>
      <w:r>
        <w:t>El número de</w:t>
      </w:r>
      <w:r w:rsidR="00DA0212">
        <w:t xml:space="preserve"> pos</w:t>
      </w:r>
      <w:r w:rsidR="001A547B">
        <w:t>tulantes mujeres electas aumentó</w:t>
      </w:r>
      <w:r w:rsidR="00DA0212">
        <w:t xml:space="preserve"> en el marco del cambio del </w:t>
      </w:r>
      <w:r w:rsidR="001A547B">
        <w:t xml:space="preserve">sistema electoral y de los </w:t>
      </w:r>
      <w:r w:rsidR="00DA0212">
        <w:t xml:space="preserve"> </w:t>
      </w:r>
      <w:r w:rsidR="00770274">
        <w:t xml:space="preserve">35 nuevos </w:t>
      </w:r>
      <w:r w:rsidR="00DA0212">
        <w:t>cupos parlamentarios en la Cámara de</w:t>
      </w:r>
      <w:r w:rsidR="00770274">
        <w:t xml:space="preserve"> </w:t>
      </w:r>
      <w:r w:rsidR="00DA0212">
        <w:t>Diputados</w:t>
      </w:r>
      <w:r w:rsidR="0092456B">
        <w:t xml:space="preserve"> que pasí de </w:t>
      </w:r>
      <w:r w:rsidR="00770274">
        <w:t>120 a</w:t>
      </w:r>
      <w:r w:rsidR="0092456B">
        <w:t xml:space="preserve"> </w:t>
      </w:r>
      <w:r w:rsidR="00770274">
        <w:t>155 diputados: resultaron electas 36 parlamentarias, con un avance importante en relaciòn a las elecci</w:t>
      </w:r>
      <w:r w:rsidR="001A547B">
        <w:t xml:space="preserve">ones parlamentarias anteriores. </w:t>
      </w:r>
      <w:r w:rsidR="0092456B">
        <w:rPr>
          <w:b/>
        </w:rPr>
        <w:t xml:space="preserve">La composición de </w:t>
      </w:r>
      <w:r w:rsidR="003E4C92">
        <w:rPr>
          <w:b/>
        </w:rPr>
        <w:t>parlamentarias en la Cámara de Diputados subió</w:t>
      </w:r>
      <w:r w:rsidR="00770274" w:rsidRPr="001A547B">
        <w:rPr>
          <w:b/>
        </w:rPr>
        <w:t xml:space="preserve"> </w:t>
      </w:r>
      <w:r w:rsidR="001A547B" w:rsidRPr="001A547B">
        <w:rPr>
          <w:b/>
        </w:rPr>
        <w:t xml:space="preserve">7 puntos </w:t>
      </w:r>
      <w:r w:rsidR="0092456B">
        <w:rPr>
          <w:b/>
        </w:rPr>
        <w:t xml:space="preserve">, desde un 15.8% </w:t>
      </w:r>
      <w:r w:rsidR="001A547B" w:rsidRPr="001A547B">
        <w:rPr>
          <w:b/>
        </w:rPr>
        <w:t xml:space="preserve"> </w:t>
      </w:r>
      <w:r w:rsidR="00770274" w:rsidRPr="001A547B">
        <w:rPr>
          <w:b/>
        </w:rPr>
        <w:t>a un 22.5%</w:t>
      </w:r>
      <w:r w:rsidR="003E4C92">
        <w:t xml:space="preserve"> con esta elección,</w:t>
      </w:r>
      <w:r w:rsidR="00770274">
        <w:t>La tendencia de incremento de la participaciòn femenina</w:t>
      </w:r>
      <w:r w:rsidR="003E4C92">
        <w:t xml:space="preserve"> y electividad en el Congreso se irá fortaleciendo </w:t>
      </w:r>
      <w:r w:rsidR="00770274">
        <w:t>al ampa</w:t>
      </w:r>
      <w:r w:rsidR="003E4C92">
        <w:t>ro de la ley de cuotas ,</w:t>
      </w:r>
      <w:r w:rsidR="001A547B">
        <w:t>del may</w:t>
      </w:r>
      <w:r w:rsidR="00770274">
        <w:t>or protagonismo polìtico y</w:t>
      </w:r>
      <w:r w:rsidR="003E4C92">
        <w:t xml:space="preserve"> social de las mujeres en Chile y del cambio cultural de los partidos polìticos.</w:t>
      </w:r>
    </w:p>
    <w:p w14:paraId="563BECCF" w14:textId="77777777" w:rsidR="00246C30" w:rsidRDefault="00246C30" w:rsidP="00622475"/>
    <w:p w14:paraId="53F89258" w14:textId="77777777" w:rsidR="00246C30" w:rsidRPr="00770274" w:rsidRDefault="00246C30" w:rsidP="00622475">
      <w:pPr>
        <w:rPr>
          <w:b/>
        </w:rPr>
      </w:pPr>
      <w:r w:rsidRPr="00770274">
        <w:rPr>
          <w:b/>
        </w:rPr>
        <w:t>Grafico 3: Mujeres electas en Cámara de Diputados 1989-2017</w:t>
      </w:r>
    </w:p>
    <w:p w14:paraId="02132F50" w14:textId="77777777" w:rsidR="00622475" w:rsidRDefault="00622475" w:rsidP="00622475"/>
    <w:p w14:paraId="350AAE69" w14:textId="2060DD40" w:rsidR="00622475" w:rsidRDefault="00557345" w:rsidP="00622475">
      <w:r>
        <w:rPr>
          <w:noProof/>
          <w:lang w:val="es-ES"/>
        </w:rPr>
        <w:drawing>
          <wp:inline distT="0" distB="0" distL="0" distR="0" wp14:anchorId="3F14AF86" wp14:editId="5E6A018F">
            <wp:extent cx="5832475" cy="2312035"/>
            <wp:effectExtent l="0" t="0" r="34925"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1C3D41" w14:textId="7E03ED36" w:rsidR="00ED2282" w:rsidRPr="00414FAE" w:rsidRDefault="003E4C92" w:rsidP="00ED2282">
      <w:pPr>
        <w:jc w:val="both"/>
        <w:rPr>
          <w:i/>
          <w:sz w:val="22"/>
          <w:szCs w:val="22"/>
        </w:rPr>
      </w:pPr>
      <w:r>
        <w:rPr>
          <w:i/>
          <w:sz w:val="20"/>
          <w:szCs w:val="20"/>
        </w:rPr>
        <w:t>Elaborado en base a datos publicados en Cox/Gonzalez/Doc.Cit/11/17</w:t>
      </w:r>
    </w:p>
    <w:p w14:paraId="43466A97" w14:textId="77777777" w:rsidR="00770274" w:rsidRDefault="00770274" w:rsidP="00112674">
      <w:pPr>
        <w:rPr>
          <w:i/>
          <w:sz w:val="20"/>
          <w:szCs w:val="20"/>
        </w:rPr>
      </w:pPr>
    </w:p>
    <w:p w14:paraId="75D1BB46" w14:textId="522C2B94" w:rsidR="00622475" w:rsidRDefault="001A547B" w:rsidP="00235ADC">
      <w:pPr>
        <w:jc w:val="both"/>
      </w:pPr>
      <w:r>
        <w:t>Un tema pendiente en la tendencia de aumento de la participación polìtica de las mujeres en la vida polìtica y el Congreso, es el acortamiento de distancia entre la cuota</w:t>
      </w:r>
      <w:r w:rsidR="000B003B">
        <w:t xml:space="preserve"> inscrita y la cuota electa: con el</w:t>
      </w:r>
      <w:r w:rsidR="00442AE9">
        <w:t xml:space="preserve"> 40% de mujeres inscrita</w:t>
      </w:r>
      <w:r w:rsidR="000B003B">
        <w:t>s se</w:t>
      </w:r>
      <w:r w:rsidR="00442AE9">
        <w:t xml:space="preserve"> logra un 22.7% de candidatas electas </w:t>
      </w:r>
      <w:r w:rsidR="003E4C92">
        <w:t xml:space="preserve">en la Cámara. El avance hacia la cuota </w:t>
      </w:r>
      <w:r w:rsidR="000B003B">
        <w:t xml:space="preserve">40% de candidatas electas requiere </w:t>
      </w:r>
      <w:r w:rsidR="00442AE9">
        <w:t>mejorar la efectividad de la ley de cuotas</w:t>
      </w:r>
      <w:r w:rsidR="000B003B">
        <w:t xml:space="preserve">,  aplicada a </w:t>
      </w:r>
      <w:r w:rsidR="00442AE9">
        <w:t>la elección municipal y de Cores, asegurar</w:t>
      </w:r>
      <w:r w:rsidR="000B003B">
        <w:t xml:space="preserve"> mecanismos de financiamiento  y </w:t>
      </w:r>
      <w:r w:rsidR="00442AE9">
        <w:t xml:space="preserve">visibilidad electoral </w:t>
      </w:r>
      <w:r w:rsidR="000B003B">
        <w:t>.</w:t>
      </w:r>
    </w:p>
    <w:p w14:paraId="190D5A61" w14:textId="77777777" w:rsidR="00235ADC" w:rsidRDefault="00235ADC" w:rsidP="00235ADC">
      <w:pPr>
        <w:jc w:val="both"/>
      </w:pPr>
    </w:p>
    <w:p w14:paraId="0A0A6811" w14:textId="1AE31B1B" w:rsidR="00622475" w:rsidRDefault="00246C30" w:rsidP="00622475">
      <w:pPr>
        <w:rPr>
          <w:b/>
        </w:rPr>
      </w:pPr>
      <w:r w:rsidRPr="00246C30">
        <w:rPr>
          <w:b/>
        </w:rPr>
        <w:t>Grafico 4.Efecti</w:t>
      </w:r>
      <w:r w:rsidR="00ED2282">
        <w:rPr>
          <w:b/>
        </w:rPr>
        <w:t>vidad de participacion y elecció</w:t>
      </w:r>
      <w:r w:rsidRPr="00246C30">
        <w:rPr>
          <w:b/>
        </w:rPr>
        <w:t>n candidatas mujeres.</w:t>
      </w:r>
    </w:p>
    <w:p w14:paraId="0C6DF3A8" w14:textId="77777777" w:rsidR="00ED2282" w:rsidRPr="00246C30" w:rsidRDefault="00ED2282" w:rsidP="00622475">
      <w:pPr>
        <w:rPr>
          <w:b/>
        </w:rPr>
      </w:pPr>
    </w:p>
    <w:p w14:paraId="4C46FC90" w14:textId="77777777" w:rsidR="00622475" w:rsidRDefault="00622475" w:rsidP="00622475">
      <w:r>
        <w:rPr>
          <w:noProof/>
          <w:lang w:val="es-ES"/>
        </w:rPr>
        <w:drawing>
          <wp:inline distT="0" distB="0" distL="0" distR="0" wp14:anchorId="6218ED5C" wp14:editId="37B2C41D">
            <wp:extent cx="5946775" cy="1901825"/>
            <wp:effectExtent l="0" t="0" r="22225" b="285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094035" w14:textId="544EE43C" w:rsidR="00112674" w:rsidRDefault="00ED2282" w:rsidP="00112674">
      <w:pPr>
        <w:rPr>
          <w:i/>
          <w:sz w:val="20"/>
          <w:szCs w:val="20"/>
        </w:rPr>
      </w:pPr>
      <w:r>
        <w:rPr>
          <w:i/>
          <w:sz w:val="20"/>
          <w:szCs w:val="20"/>
        </w:rPr>
        <w:t>El</w:t>
      </w:r>
      <w:r w:rsidR="00112674">
        <w:rPr>
          <w:i/>
          <w:sz w:val="20"/>
          <w:szCs w:val="20"/>
        </w:rPr>
        <w:t>a</w:t>
      </w:r>
      <w:r>
        <w:rPr>
          <w:i/>
          <w:sz w:val="20"/>
          <w:szCs w:val="20"/>
        </w:rPr>
        <w:t>b</w:t>
      </w:r>
      <w:r w:rsidR="00112674">
        <w:rPr>
          <w:i/>
          <w:sz w:val="20"/>
          <w:szCs w:val="20"/>
        </w:rPr>
        <w:t>orado en base a Cox/Gonzalez/Doc.Cit/11/17.</w:t>
      </w:r>
    </w:p>
    <w:p w14:paraId="7196C482" w14:textId="77777777" w:rsidR="00ED2282" w:rsidRDefault="00ED2282" w:rsidP="00112674">
      <w:pPr>
        <w:rPr>
          <w:i/>
          <w:sz w:val="20"/>
          <w:szCs w:val="20"/>
        </w:rPr>
      </w:pPr>
    </w:p>
    <w:p w14:paraId="7E84CB88" w14:textId="3461707E" w:rsidR="00235ADC" w:rsidRDefault="00ED2282" w:rsidP="000B003B">
      <w:pPr>
        <w:jc w:val="both"/>
      </w:pPr>
      <w:r w:rsidRPr="00235ADC">
        <w:rPr>
          <w:b/>
        </w:rPr>
        <w:t>En relación a la aplicaciòn de la ley de cuotas a nivel de partidos polìticos</w:t>
      </w:r>
      <w:r w:rsidR="003E4C92">
        <w:t>, donde</w:t>
      </w:r>
      <w:r>
        <w:t xml:space="preserve"> </w:t>
      </w:r>
      <w:r w:rsidR="00235ADC">
        <w:t>s</w:t>
      </w:r>
      <w:r>
        <w:t xml:space="preserve">e aprecia </w:t>
      </w:r>
      <w:r w:rsidR="0092456B">
        <w:t xml:space="preserve">, </w:t>
      </w:r>
      <w:r>
        <w:t>una voluntad politica de avanzar en el espíritu de la ley y fortalecimiento de la participación polìtica de la muje</w:t>
      </w:r>
      <w:r w:rsidR="00235ADC">
        <w:t xml:space="preserve">r es en Renovaciòn Nacional, que es el partido que logra la mayor cuota de 10 diputadas electas, y en el debut politico del Frente Amplio con </w:t>
      </w:r>
      <w:r>
        <w:t>7 parlamentarias</w:t>
      </w:r>
      <w:r w:rsidR="003E4C92">
        <w:t xml:space="preserve"> electas – </w:t>
      </w:r>
      <w:r w:rsidR="00235ADC">
        <w:t xml:space="preserve">RD </w:t>
      </w:r>
      <w:r>
        <w:t>dentro de</w:t>
      </w:r>
      <w:r w:rsidR="003E4C92">
        <w:t>l</w:t>
      </w:r>
      <w:r>
        <w:t xml:space="preserve"> </w:t>
      </w:r>
      <w:r w:rsidR="003E4C92">
        <w:t>conglomerado de izquierda elige 4 diputadas  –</w:t>
      </w:r>
      <w:r w:rsidR="0092456B">
        <w:t>.</w:t>
      </w:r>
      <w:r>
        <w:t xml:space="preserve"> </w:t>
      </w:r>
      <w:r w:rsidR="003E4C92">
        <w:t>Sin duda, que hay un dé</w:t>
      </w:r>
      <w:r w:rsidR="000B003B">
        <w:t>ficit</w:t>
      </w:r>
      <w:r w:rsidR="003E4C92">
        <w:t xml:space="preserve"> para asumir </w:t>
      </w:r>
      <w:r w:rsidR="000B003B">
        <w:t>esta nueva realidad política , en partidos como el PPD y el PS, que siempre</w:t>
      </w:r>
      <w:r w:rsidR="0092456B">
        <w:t xml:space="preserve"> han</w:t>
      </w:r>
      <w:r w:rsidR="000B003B">
        <w:t xml:space="preserve"> tenido una clara posición por el fortalecimiento de la par</w:t>
      </w:r>
      <w:r w:rsidR="003E4C92">
        <w:t xml:space="preserve">ticipación politica de la mujer, y </w:t>
      </w:r>
      <w:r w:rsidR="0092456B">
        <w:t xml:space="preserve">muy especialmente se aprecia un deficit </w:t>
      </w:r>
      <w:r w:rsidR="003E4C92">
        <w:t xml:space="preserve"> en la DC que logra solamente una dipùtada mujer.</w:t>
      </w:r>
    </w:p>
    <w:p w14:paraId="65111FFA" w14:textId="77777777" w:rsidR="000B003B" w:rsidRDefault="000B003B" w:rsidP="000B003B">
      <w:pPr>
        <w:jc w:val="both"/>
      </w:pPr>
    </w:p>
    <w:p w14:paraId="48AC66BC" w14:textId="478128ED" w:rsidR="00235ADC" w:rsidRPr="000B003B" w:rsidRDefault="00235ADC" w:rsidP="00622475">
      <w:pPr>
        <w:rPr>
          <w:b/>
        </w:rPr>
      </w:pPr>
      <w:r w:rsidRPr="000B003B">
        <w:rPr>
          <w:b/>
        </w:rPr>
        <w:t>Grafico 5. Partidos polìticos y ley de cuotas.</w:t>
      </w:r>
    </w:p>
    <w:p w14:paraId="7E53ED1E" w14:textId="2BE0F48B" w:rsidR="00235ADC" w:rsidRDefault="00235ADC" w:rsidP="00235ADC">
      <w:pPr>
        <w:jc w:val="both"/>
      </w:pPr>
      <w:r>
        <w:rPr>
          <w:noProof/>
          <w:lang w:val="es-ES"/>
        </w:rPr>
        <w:drawing>
          <wp:inline distT="0" distB="0" distL="0" distR="0" wp14:anchorId="1B52BD9C" wp14:editId="74957CAC">
            <wp:extent cx="5612130" cy="2080895"/>
            <wp:effectExtent l="0" t="0" r="26670" b="273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256685" w14:textId="77777777" w:rsidR="0092456B" w:rsidRDefault="000B003B" w:rsidP="00235ADC">
      <w:pPr>
        <w:jc w:val="both"/>
        <w:rPr>
          <w:i/>
          <w:sz w:val="20"/>
          <w:szCs w:val="20"/>
        </w:rPr>
      </w:pPr>
      <w:r w:rsidRPr="000B003B">
        <w:rPr>
          <w:i/>
          <w:sz w:val="20"/>
          <w:szCs w:val="20"/>
        </w:rPr>
        <w:t>Elaborado</w:t>
      </w:r>
      <w:r w:rsidR="003E4C92">
        <w:rPr>
          <w:i/>
          <w:sz w:val="20"/>
          <w:szCs w:val="20"/>
        </w:rPr>
        <w:t xml:space="preserve"> en  a resultados </w:t>
      </w:r>
      <w:r w:rsidRPr="000B003B">
        <w:rPr>
          <w:i/>
          <w:sz w:val="20"/>
          <w:szCs w:val="20"/>
        </w:rPr>
        <w:t xml:space="preserve"> Servel/11/17</w:t>
      </w:r>
      <w:r>
        <w:rPr>
          <w:i/>
          <w:sz w:val="20"/>
          <w:szCs w:val="20"/>
        </w:rPr>
        <w:tab/>
      </w:r>
      <w:r>
        <w:rPr>
          <w:i/>
          <w:sz w:val="20"/>
          <w:szCs w:val="20"/>
        </w:rPr>
        <w:tab/>
      </w:r>
      <w:r>
        <w:rPr>
          <w:i/>
          <w:sz w:val="20"/>
          <w:szCs w:val="20"/>
        </w:rPr>
        <w:tab/>
      </w:r>
      <w:r>
        <w:rPr>
          <w:i/>
          <w:sz w:val="20"/>
          <w:szCs w:val="20"/>
        </w:rPr>
        <w:tab/>
      </w:r>
      <w:r>
        <w:rPr>
          <w:i/>
          <w:sz w:val="20"/>
          <w:szCs w:val="20"/>
        </w:rPr>
        <w:tab/>
        <w:t xml:space="preserve">                           </w:t>
      </w:r>
    </w:p>
    <w:p w14:paraId="4517D394" w14:textId="77777777" w:rsidR="0092456B" w:rsidRDefault="0092456B" w:rsidP="00235ADC">
      <w:pPr>
        <w:jc w:val="both"/>
        <w:rPr>
          <w:i/>
          <w:sz w:val="20"/>
          <w:szCs w:val="20"/>
        </w:rPr>
      </w:pPr>
    </w:p>
    <w:p w14:paraId="19168D37" w14:textId="6D941FC8" w:rsidR="000B003B" w:rsidRPr="000B003B" w:rsidRDefault="0092456B" w:rsidP="00235ADC">
      <w:pPr>
        <w:jc w:val="both"/>
        <w:rPr>
          <w:i/>
          <w:sz w:val="20"/>
          <w:szCs w:val="20"/>
        </w:rPr>
      </w:pPr>
      <w:r>
        <w:rPr>
          <w:i/>
          <w:sz w:val="20"/>
          <w:szCs w:val="20"/>
        </w:rPr>
        <w:t xml:space="preserve"> RPV/4</w:t>
      </w:r>
      <w:bookmarkStart w:id="0" w:name="_GoBack"/>
      <w:bookmarkEnd w:id="0"/>
      <w:r w:rsidR="000B003B">
        <w:rPr>
          <w:i/>
          <w:sz w:val="20"/>
          <w:szCs w:val="20"/>
        </w:rPr>
        <w:t>/12/17</w:t>
      </w:r>
    </w:p>
    <w:p w14:paraId="2411D798" w14:textId="77777777" w:rsidR="00ED2282" w:rsidRDefault="00ED2282" w:rsidP="00622475"/>
    <w:p w14:paraId="0F09C8FF" w14:textId="77777777" w:rsidR="000B003B" w:rsidRDefault="000B003B" w:rsidP="00622475"/>
    <w:p w14:paraId="05708ED2" w14:textId="77777777" w:rsidR="000B003B" w:rsidRDefault="000B003B" w:rsidP="00622475"/>
    <w:p w14:paraId="4A23B9E6" w14:textId="77777777" w:rsidR="000B003B" w:rsidRDefault="000B003B" w:rsidP="00622475"/>
    <w:p w14:paraId="579F7B74" w14:textId="77777777" w:rsidR="000B003B" w:rsidRDefault="000B003B" w:rsidP="00622475"/>
    <w:p w14:paraId="1C4FF53F" w14:textId="77777777" w:rsidR="000B003B" w:rsidRDefault="000B003B" w:rsidP="00622475"/>
    <w:p w14:paraId="42803F23" w14:textId="77777777" w:rsidR="000B003B" w:rsidRDefault="000B003B" w:rsidP="00622475"/>
    <w:p w14:paraId="4D0305F8" w14:textId="77777777" w:rsidR="000B003B" w:rsidRDefault="000B003B" w:rsidP="00622475"/>
    <w:p w14:paraId="0808D649" w14:textId="77777777" w:rsidR="000B003B" w:rsidRDefault="000B003B" w:rsidP="00622475"/>
    <w:p w14:paraId="5611642B" w14:textId="77777777" w:rsidR="000B003B" w:rsidRDefault="000B003B" w:rsidP="00622475"/>
    <w:p w14:paraId="743CA18E" w14:textId="77777777" w:rsidR="000B003B" w:rsidRPr="00622475" w:rsidRDefault="000B003B" w:rsidP="00622475"/>
    <w:sectPr w:rsidR="000B003B" w:rsidRPr="00622475"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75"/>
    <w:rsid w:val="00072561"/>
    <w:rsid w:val="000B003B"/>
    <w:rsid w:val="00112674"/>
    <w:rsid w:val="001915B0"/>
    <w:rsid w:val="001A547B"/>
    <w:rsid w:val="0022008E"/>
    <w:rsid w:val="00235ADC"/>
    <w:rsid w:val="00246C30"/>
    <w:rsid w:val="003C4E38"/>
    <w:rsid w:val="003E4C92"/>
    <w:rsid w:val="00414FAE"/>
    <w:rsid w:val="00442AE9"/>
    <w:rsid w:val="005323ED"/>
    <w:rsid w:val="0054286D"/>
    <w:rsid w:val="00552FF6"/>
    <w:rsid w:val="00557345"/>
    <w:rsid w:val="00622475"/>
    <w:rsid w:val="00770274"/>
    <w:rsid w:val="0092456B"/>
    <w:rsid w:val="00A5518B"/>
    <w:rsid w:val="00DA0212"/>
    <w:rsid w:val="00E8639F"/>
    <w:rsid w:val="00ED22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A8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24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2247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2247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224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24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2247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2247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224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mbio%20binominal%20cuo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mbio%20binominal%20cuo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mbio%20binominal%20cuot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mbio%20binominal%20cuo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Participación</a:t>
            </a:r>
            <a:r>
              <a:rPr lang="es-ES" sz="1200" baseline="0"/>
              <a:t> candidatas mujeres en elecciones Camara de Diputados 1989-2017</a:t>
            </a:r>
            <a:endParaRPr lang="es-ES" sz="1200"/>
          </a:p>
        </c:rich>
      </c:tx>
      <c:layout/>
      <c:overlay val="0"/>
    </c:title>
    <c:autoTitleDeleted val="0"/>
    <c:plotArea>
      <c:layout/>
      <c:lineChart>
        <c:grouping val="standard"/>
        <c:varyColors val="0"/>
        <c:ser>
          <c:idx val="0"/>
          <c:order val="0"/>
          <c:tx>
            <c:strRef>
              <c:f>Hoja1!$I$9</c:f>
              <c:strCache>
                <c:ptCount val="1"/>
                <c:pt idx="0">
                  <c:v>Postulantes</c:v>
                </c:pt>
              </c:strCache>
            </c:strRef>
          </c:tx>
          <c:marker>
            <c:symbol val="none"/>
          </c:marker>
          <c:dLbls>
            <c:dLbl>
              <c:idx val="0"/>
              <c:layout>
                <c:manualLayout>
                  <c:x val="-0.0444444444444445"/>
                  <c:y val="0.0185185185185183"/>
                </c:manualLayout>
              </c:layout>
              <c:showLegendKey val="0"/>
              <c:showVal val="1"/>
              <c:showCatName val="0"/>
              <c:showSerName val="0"/>
              <c:showPercent val="0"/>
              <c:showBubbleSize val="0"/>
            </c:dLbl>
            <c:dLbl>
              <c:idx val="1"/>
              <c:layout>
                <c:manualLayout>
                  <c:x val="-0.00833333333333338"/>
                  <c:y val="0.0185185185185183"/>
                </c:manualLayout>
              </c:layout>
              <c:showLegendKey val="0"/>
              <c:showVal val="1"/>
              <c:showCatName val="0"/>
              <c:showSerName val="0"/>
              <c:showPercent val="0"/>
              <c:showBubbleSize val="0"/>
            </c:dLbl>
            <c:dLbl>
              <c:idx val="2"/>
              <c:layout>
                <c:manualLayout>
                  <c:x val="-0.0472222222222222"/>
                  <c:y val="-0.0277777777777778"/>
                </c:manualLayout>
              </c:layout>
              <c:showLegendKey val="0"/>
              <c:showVal val="1"/>
              <c:showCatName val="0"/>
              <c:showSerName val="0"/>
              <c:showPercent val="0"/>
              <c:showBubbleSize val="0"/>
            </c:dLbl>
            <c:dLbl>
              <c:idx val="3"/>
              <c:layout>
                <c:manualLayout>
                  <c:x val="-0.025"/>
                  <c:y val="0.0324074074074072"/>
                </c:manualLayout>
              </c:layout>
              <c:showLegendKey val="0"/>
              <c:showVal val="1"/>
              <c:showCatName val="0"/>
              <c:showSerName val="0"/>
              <c:showPercent val="0"/>
              <c:showBubbleSize val="0"/>
            </c:dLbl>
            <c:dLbl>
              <c:idx val="4"/>
              <c:layout>
                <c:manualLayout>
                  <c:x val="-1.0185067526416E-16"/>
                  <c:y val="0.0231481481481481"/>
                </c:manualLayout>
              </c:layout>
              <c:showLegendKey val="0"/>
              <c:showVal val="1"/>
              <c:showCatName val="0"/>
              <c:showSerName val="0"/>
              <c:showPercent val="0"/>
              <c:showBubbleSize val="0"/>
            </c:dLbl>
            <c:dLbl>
              <c:idx val="5"/>
              <c:layout>
                <c:manualLayout>
                  <c:x val="-1.0185067526416E-16"/>
                  <c:y val="0.0185185185185185"/>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Hoja1!$H$10:$H$18</c:f>
              <c:numCache>
                <c:formatCode>General</c:formatCode>
                <c:ptCount val="9"/>
                <c:pt idx="0">
                  <c:v>1989.0</c:v>
                </c:pt>
                <c:pt idx="1">
                  <c:v>1993.0</c:v>
                </c:pt>
                <c:pt idx="2">
                  <c:v>1997.0</c:v>
                </c:pt>
                <c:pt idx="3">
                  <c:v>2001.0</c:v>
                </c:pt>
                <c:pt idx="4">
                  <c:v>2005.0</c:v>
                </c:pt>
                <c:pt idx="5">
                  <c:v>2009.0</c:v>
                </c:pt>
                <c:pt idx="6">
                  <c:v>2013.0</c:v>
                </c:pt>
                <c:pt idx="7">
                  <c:v>2017.0</c:v>
                </c:pt>
              </c:numCache>
            </c:numRef>
          </c:cat>
          <c:val>
            <c:numRef>
              <c:f>Hoja1!$I$10:$I$18</c:f>
              <c:numCache>
                <c:formatCode>General</c:formatCode>
                <c:ptCount val="9"/>
                <c:pt idx="0">
                  <c:v>33.0</c:v>
                </c:pt>
                <c:pt idx="1">
                  <c:v>50.0</c:v>
                </c:pt>
                <c:pt idx="2">
                  <c:v>84.0</c:v>
                </c:pt>
                <c:pt idx="3">
                  <c:v>55.0</c:v>
                </c:pt>
                <c:pt idx="4">
                  <c:v>63.0</c:v>
                </c:pt>
                <c:pt idx="5">
                  <c:v>73.0</c:v>
                </c:pt>
                <c:pt idx="6">
                  <c:v>91.0</c:v>
                </c:pt>
                <c:pt idx="7">
                  <c:v>415.0</c:v>
                </c:pt>
              </c:numCache>
            </c:numRef>
          </c:val>
          <c:smooth val="0"/>
        </c:ser>
        <c:dLbls>
          <c:showLegendKey val="0"/>
          <c:showVal val="1"/>
          <c:showCatName val="0"/>
          <c:showSerName val="0"/>
          <c:showPercent val="0"/>
          <c:showBubbleSize val="0"/>
        </c:dLbls>
        <c:marker val="1"/>
        <c:smooth val="0"/>
        <c:axId val="2064107384"/>
        <c:axId val="2065465400"/>
      </c:lineChart>
      <c:catAx>
        <c:axId val="2064107384"/>
        <c:scaling>
          <c:orientation val="minMax"/>
        </c:scaling>
        <c:delete val="0"/>
        <c:axPos val="b"/>
        <c:numFmt formatCode="General" sourceLinked="1"/>
        <c:majorTickMark val="out"/>
        <c:minorTickMark val="none"/>
        <c:tickLblPos val="nextTo"/>
        <c:txPr>
          <a:bodyPr/>
          <a:lstStyle/>
          <a:p>
            <a:pPr>
              <a:defRPr b="1"/>
            </a:pPr>
            <a:endParaRPr lang="es-ES"/>
          </a:p>
        </c:txPr>
        <c:crossAx val="2065465400"/>
        <c:crosses val="autoZero"/>
        <c:auto val="1"/>
        <c:lblAlgn val="ctr"/>
        <c:lblOffset val="100"/>
        <c:noMultiLvlLbl val="0"/>
      </c:catAx>
      <c:valAx>
        <c:axId val="2065465400"/>
        <c:scaling>
          <c:orientation val="minMax"/>
        </c:scaling>
        <c:delete val="0"/>
        <c:axPos val="l"/>
        <c:majorGridlines/>
        <c:numFmt formatCode="General" sourceLinked="1"/>
        <c:majorTickMark val="out"/>
        <c:minorTickMark val="none"/>
        <c:tickLblPos val="nextTo"/>
        <c:crossAx val="2064107384"/>
        <c:crosses val="autoZero"/>
        <c:crossBetween val="between"/>
      </c:valAx>
      <c:spPr>
        <a:solidFill>
          <a:schemeClr val="bg2"/>
        </a:solidFill>
      </c:spPr>
    </c:plotArea>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Candidatas</a:t>
            </a:r>
            <a:r>
              <a:rPr lang="es-ES" sz="1200" baseline="0"/>
              <a:t> mujeres </a:t>
            </a:r>
            <a:r>
              <a:rPr lang="es-ES" sz="1200"/>
              <a:t>electas Camara de Diputados</a:t>
            </a:r>
            <a:r>
              <a:rPr lang="es-ES" sz="1200" baseline="0"/>
              <a:t> 1989-2017</a:t>
            </a:r>
            <a:endParaRPr lang="es-ES" sz="1200"/>
          </a:p>
        </c:rich>
      </c:tx>
      <c:layout/>
      <c:overlay val="0"/>
    </c:title>
    <c:autoTitleDeleted val="0"/>
    <c:plotArea>
      <c:layout/>
      <c:lineChart>
        <c:grouping val="stacked"/>
        <c:varyColors val="0"/>
        <c:ser>
          <c:idx val="0"/>
          <c:order val="0"/>
          <c:tx>
            <c:strRef>
              <c:f>Hoja1!#¡REF!</c:f>
              <c:strCache>
                <c:ptCount val="1"/>
                <c:pt idx="0">
                  <c:v>#REF!</c:v>
                </c:pt>
              </c:strCache>
            </c:strRef>
          </c:tx>
          <c:marker>
            <c:symbol val="none"/>
          </c:marker>
          <c:dLbls>
            <c:dLbl>
              <c:idx val="0"/>
              <c:layout>
                <c:manualLayout>
                  <c:x val="-0.0361111111111111"/>
                  <c:y val="0.037037037037037"/>
                </c:manualLayout>
              </c:layout>
              <c:showLegendKey val="0"/>
              <c:showVal val="1"/>
              <c:showCatName val="0"/>
              <c:showSerName val="0"/>
              <c:showPercent val="0"/>
              <c:showBubbleSize val="0"/>
            </c:dLbl>
            <c:dLbl>
              <c:idx val="4"/>
              <c:layout>
                <c:manualLayout>
                  <c:x val="-0.0222222222222222"/>
                  <c:y val="0.0416666666666666"/>
                </c:manualLayout>
              </c:layout>
              <c:showLegendKey val="0"/>
              <c:showVal val="1"/>
              <c:showCatName val="0"/>
              <c:showSerName val="0"/>
              <c:showPercent val="0"/>
              <c:showBubbleSize val="0"/>
            </c:dLbl>
            <c:dLbl>
              <c:idx val="5"/>
              <c:layout>
                <c:manualLayout>
                  <c:x val="-0.00833333333333343"/>
                  <c:y val="0.0277777777777777"/>
                </c:manualLayout>
              </c:layout>
              <c:showLegendKey val="0"/>
              <c:showVal val="1"/>
              <c:showCatName val="0"/>
              <c:showSerName val="0"/>
              <c:showPercent val="0"/>
              <c:showBubbleSize val="0"/>
            </c:dLbl>
            <c:dLbl>
              <c:idx val="7"/>
              <c:layout>
                <c:manualLayout>
                  <c:x val="-0.00833333333333333"/>
                  <c:y val="-0.0277777777777778"/>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Hoja1!$H$10:$H$17</c:f>
              <c:numCache>
                <c:formatCode>General</c:formatCode>
                <c:ptCount val="8"/>
                <c:pt idx="0">
                  <c:v>1989.0</c:v>
                </c:pt>
                <c:pt idx="1">
                  <c:v>1993.0</c:v>
                </c:pt>
                <c:pt idx="2">
                  <c:v>1997.0</c:v>
                </c:pt>
                <c:pt idx="3">
                  <c:v>2001.0</c:v>
                </c:pt>
                <c:pt idx="4">
                  <c:v>2005.0</c:v>
                </c:pt>
                <c:pt idx="5">
                  <c:v>2009.0</c:v>
                </c:pt>
                <c:pt idx="6">
                  <c:v>2013.0</c:v>
                </c:pt>
                <c:pt idx="7">
                  <c:v>2017.0</c:v>
                </c:pt>
              </c:numCache>
            </c:numRef>
          </c:cat>
          <c:val>
            <c:numRef>
              <c:f>Hoja1!$J$10:$J$17</c:f>
              <c:numCache>
                <c:formatCode>General</c:formatCode>
                <c:ptCount val="8"/>
                <c:pt idx="0">
                  <c:v>7.0</c:v>
                </c:pt>
                <c:pt idx="1">
                  <c:v>9.0</c:v>
                </c:pt>
                <c:pt idx="2">
                  <c:v>13.0</c:v>
                </c:pt>
                <c:pt idx="3">
                  <c:v>15.0</c:v>
                </c:pt>
                <c:pt idx="4">
                  <c:v>18.0</c:v>
                </c:pt>
                <c:pt idx="5">
                  <c:v>17.0</c:v>
                </c:pt>
                <c:pt idx="6">
                  <c:v>19.0</c:v>
                </c:pt>
                <c:pt idx="7">
                  <c:v>36.0</c:v>
                </c:pt>
              </c:numCache>
            </c:numRef>
          </c:val>
          <c:smooth val="0"/>
        </c:ser>
        <c:dLbls>
          <c:showLegendKey val="0"/>
          <c:showVal val="1"/>
          <c:showCatName val="0"/>
          <c:showSerName val="0"/>
          <c:showPercent val="0"/>
          <c:showBubbleSize val="0"/>
        </c:dLbls>
        <c:marker val="1"/>
        <c:smooth val="0"/>
        <c:axId val="2063902008"/>
        <c:axId val="2065535880"/>
      </c:lineChart>
      <c:catAx>
        <c:axId val="2063902008"/>
        <c:scaling>
          <c:orientation val="minMax"/>
        </c:scaling>
        <c:delete val="0"/>
        <c:axPos val="b"/>
        <c:numFmt formatCode="General" sourceLinked="1"/>
        <c:majorTickMark val="out"/>
        <c:minorTickMark val="none"/>
        <c:tickLblPos val="nextTo"/>
        <c:crossAx val="2065535880"/>
        <c:crosses val="autoZero"/>
        <c:auto val="1"/>
        <c:lblAlgn val="ctr"/>
        <c:lblOffset val="100"/>
        <c:noMultiLvlLbl val="0"/>
      </c:catAx>
      <c:valAx>
        <c:axId val="2065535880"/>
        <c:scaling>
          <c:orientation val="minMax"/>
        </c:scaling>
        <c:delete val="0"/>
        <c:axPos val="l"/>
        <c:majorGridlines/>
        <c:numFmt formatCode="General" sourceLinked="1"/>
        <c:majorTickMark val="out"/>
        <c:minorTickMark val="none"/>
        <c:tickLblPos val="nextTo"/>
        <c:crossAx val="2063902008"/>
        <c:crosses val="autoZero"/>
        <c:crossBetween val="between"/>
      </c:valAx>
      <c:spPr>
        <a:solidFill>
          <a:schemeClr val="bg2"/>
        </a:solidFill>
      </c:spPr>
    </c:plotArea>
    <c:plotVisOnly val="1"/>
    <c:dispBlanksAs val="zero"/>
    <c:showDLblsOverMax val="0"/>
  </c:chart>
  <c:spPr>
    <a:solidFill>
      <a:schemeClr val="accent3">
        <a:lumMod val="20000"/>
        <a:lumOff val="80000"/>
      </a:schemeClr>
    </a:solidFill>
    <a:ln>
      <a:solidFill>
        <a:srgbClr val="FFFF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Hoja1!$I$8:$I$9</c:f>
              <c:strCache>
                <c:ptCount val="1"/>
                <c:pt idx="0">
                  <c:v>Postulantes</c:v>
                </c:pt>
              </c:strCache>
            </c:strRef>
          </c:tx>
          <c:marker>
            <c:symbol val="none"/>
          </c:marker>
          <c:dLbls>
            <c:dLbl>
              <c:idx val="0"/>
              <c:layout>
                <c:manualLayout>
                  <c:x val="-0.0388888888888889"/>
                  <c:y val="-0.00925925925925926"/>
                </c:manualLayout>
              </c:layout>
              <c:showLegendKey val="0"/>
              <c:showVal val="1"/>
              <c:showCatName val="0"/>
              <c:showSerName val="0"/>
              <c:showPercent val="0"/>
              <c:showBubbleSize val="0"/>
            </c:dLbl>
            <c:dLbl>
              <c:idx val="2"/>
              <c:layout>
                <c:manualLayout>
                  <c:x val="-0.0444444444444444"/>
                  <c:y val="-0.0277777777777778"/>
                </c:manualLayout>
              </c:layout>
              <c:showLegendKey val="0"/>
              <c:showVal val="1"/>
              <c:showCatName val="0"/>
              <c:showSerName val="0"/>
              <c:showPercent val="0"/>
              <c:showBubbleSize val="0"/>
            </c:dLbl>
            <c:dLbl>
              <c:idx val="3"/>
              <c:layout>
                <c:manualLayout>
                  <c:x val="-0.0277777777777778"/>
                  <c:y val="-8.48755627201341E-17"/>
                </c:manualLayout>
              </c:layout>
              <c:showLegendKey val="0"/>
              <c:showVal val="1"/>
              <c:showCatName val="0"/>
              <c:showSerName val="0"/>
              <c:showPercent val="0"/>
              <c:showBubbleSize val="0"/>
            </c:dLbl>
            <c:dLbl>
              <c:idx val="6"/>
              <c:layout>
                <c:manualLayout>
                  <c:x val="-0.0277777777777778"/>
                  <c:y val="0.0138888888888889"/>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Hoja1!$H$10:$H$18</c:f>
              <c:numCache>
                <c:formatCode>General</c:formatCode>
                <c:ptCount val="9"/>
                <c:pt idx="0">
                  <c:v>1989.0</c:v>
                </c:pt>
                <c:pt idx="1">
                  <c:v>1993.0</c:v>
                </c:pt>
                <c:pt idx="2">
                  <c:v>1997.0</c:v>
                </c:pt>
                <c:pt idx="3">
                  <c:v>2001.0</c:v>
                </c:pt>
                <c:pt idx="4">
                  <c:v>2005.0</c:v>
                </c:pt>
                <c:pt idx="5">
                  <c:v>2009.0</c:v>
                </c:pt>
                <c:pt idx="6">
                  <c:v>2013.0</c:v>
                </c:pt>
                <c:pt idx="7">
                  <c:v>2017.0</c:v>
                </c:pt>
              </c:numCache>
            </c:numRef>
          </c:cat>
          <c:val>
            <c:numRef>
              <c:f>Hoja1!$I$10:$I$18</c:f>
              <c:numCache>
                <c:formatCode>General</c:formatCode>
                <c:ptCount val="9"/>
                <c:pt idx="0">
                  <c:v>33.0</c:v>
                </c:pt>
                <c:pt idx="1">
                  <c:v>50.0</c:v>
                </c:pt>
                <c:pt idx="2">
                  <c:v>84.0</c:v>
                </c:pt>
                <c:pt idx="3">
                  <c:v>55.0</c:v>
                </c:pt>
                <c:pt idx="4">
                  <c:v>63.0</c:v>
                </c:pt>
                <c:pt idx="5">
                  <c:v>73.0</c:v>
                </c:pt>
                <c:pt idx="6">
                  <c:v>91.0</c:v>
                </c:pt>
                <c:pt idx="7">
                  <c:v>415.0</c:v>
                </c:pt>
              </c:numCache>
            </c:numRef>
          </c:val>
          <c:smooth val="0"/>
        </c:ser>
        <c:ser>
          <c:idx val="1"/>
          <c:order val="1"/>
          <c:tx>
            <c:strRef>
              <c:f>Hoja1!$J$8:$J$9</c:f>
              <c:strCache>
                <c:ptCount val="1"/>
                <c:pt idx="0">
                  <c:v>electas</c:v>
                </c:pt>
              </c:strCache>
            </c:strRef>
          </c:tx>
          <c:marker>
            <c:symbol val="none"/>
          </c:marker>
          <c:dLbls>
            <c:dLbl>
              <c:idx val="0"/>
              <c:layout>
                <c:manualLayout>
                  <c:x val="-0.0333333333333333"/>
                  <c:y val="0.0277777777777778"/>
                </c:manualLayout>
              </c:layout>
              <c:showLegendKey val="0"/>
              <c:showVal val="1"/>
              <c:showCatName val="0"/>
              <c:showSerName val="0"/>
              <c:showPercent val="0"/>
              <c:showBubbleSize val="0"/>
            </c:dLbl>
            <c:dLbl>
              <c:idx val="1"/>
              <c:layout>
                <c:manualLayout>
                  <c:x val="-0.00555555555555555"/>
                  <c:y val="0.0277777777777778"/>
                </c:manualLayout>
              </c:layout>
              <c:showLegendKey val="0"/>
              <c:showVal val="1"/>
              <c:showCatName val="0"/>
              <c:showSerName val="0"/>
              <c:showPercent val="0"/>
              <c:showBubbleSize val="0"/>
            </c:dLbl>
            <c:dLbl>
              <c:idx val="2"/>
              <c:layout>
                <c:manualLayout>
                  <c:x val="0.0"/>
                  <c:y val="0.023148148148148"/>
                </c:manualLayout>
              </c:layout>
              <c:showLegendKey val="0"/>
              <c:showVal val="1"/>
              <c:showCatName val="0"/>
              <c:showSerName val="0"/>
              <c:showPercent val="0"/>
              <c:showBubbleSize val="0"/>
            </c:dLbl>
            <c:dLbl>
              <c:idx val="3"/>
              <c:layout>
                <c:manualLayout>
                  <c:x val="0.0"/>
                  <c:y val="0.0138888888888887"/>
                </c:manualLayout>
              </c:layout>
              <c:showLegendKey val="0"/>
              <c:showVal val="1"/>
              <c:showCatName val="0"/>
              <c:showSerName val="0"/>
              <c:showPercent val="0"/>
              <c:showBubbleSize val="0"/>
            </c:dLbl>
            <c:dLbl>
              <c:idx val="4"/>
              <c:layout>
                <c:manualLayout>
                  <c:x val="5.092533763208E-17"/>
                  <c:y val="0.0277777777777778"/>
                </c:manualLayout>
              </c:layout>
              <c:showLegendKey val="0"/>
              <c:showVal val="1"/>
              <c:showCatName val="0"/>
              <c:showSerName val="0"/>
              <c:showPercent val="0"/>
              <c:showBubbleSize val="0"/>
            </c:dLbl>
            <c:dLbl>
              <c:idx val="5"/>
              <c:layout>
                <c:manualLayout>
                  <c:x val="0.0"/>
                  <c:y val="0.0277777777777778"/>
                </c:manualLayout>
              </c:layout>
              <c:showLegendKey val="0"/>
              <c:showVal val="1"/>
              <c:showCatName val="0"/>
              <c:showSerName val="0"/>
              <c:showPercent val="0"/>
              <c:showBubbleSize val="0"/>
            </c:dLbl>
            <c:dLbl>
              <c:idx val="6"/>
              <c:layout>
                <c:manualLayout>
                  <c:x val="-0.00833333333333333"/>
                  <c:y val="0.0185185185185185"/>
                </c:manualLayout>
              </c:layout>
              <c:showLegendKey val="0"/>
              <c:showVal val="1"/>
              <c:showCatName val="0"/>
              <c:showSerName val="0"/>
              <c:showPercent val="0"/>
              <c:showBubbleSize val="0"/>
            </c:dLbl>
            <c:dLbl>
              <c:idx val="7"/>
              <c:layout>
                <c:manualLayout>
                  <c:x val="-0.00833333333333343"/>
                  <c:y val="-0.0555555555555557"/>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Hoja1!$H$10:$H$18</c:f>
              <c:numCache>
                <c:formatCode>General</c:formatCode>
                <c:ptCount val="9"/>
                <c:pt idx="0">
                  <c:v>1989.0</c:v>
                </c:pt>
                <c:pt idx="1">
                  <c:v>1993.0</c:v>
                </c:pt>
                <c:pt idx="2">
                  <c:v>1997.0</c:v>
                </c:pt>
                <c:pt idx="3">
                  <c:v>2001.0</c:v>
                </c:pt>
                <c:pt idx="4">
                  <c:v>2005.0</c:v>
                </c:pt>
                <c:pt idx="5">
                  <c:v>2009.0</c:v>
                </c:pt>
                <c:pt idx="6">
                  <c:v>2013.0</c:v>
                </c:pt>
                <c:pt idx="7">
                  <c:v>2017.0</c:v>
                </c:pt>
              </c:numCache>
            </c:numRef>
          </c:cat>
          <c:val>
            <c:numRef>
              <c:f>Hoja1!$J$10:$J$18</c:f>
              <c:numCache>
                <c:formatCode>General</c:formatCode>
                <c:ptCount val="9"/>
                <c:pt idx="0">
                  <c:v>7.0</c:v>
                </c:pt>
                <c:pt idx="1">
                  <c:v>9.0</c:v>
                </c:pt>
                <c:pt idx="2">
                  <c:v>13.0</c:v>
                </c:pt>
                <c:pt idx="3">
                  <c:v>15.0</c:v>
                </c:pt>
                <c:pt idx="4">
                  <c:v>18.0</c:v>
                </c:pt>
                <c:pt idx="5">
                  <c:v>17.0</c:v>
                </c:pt>
                <c:pt idx="6">
                  <c:v>19.0</c:v>
                </c:pt>
                <c:pt idx="7">
                  <c:v>35.0</c:v>
                </c:pt>
              </c:numCache>
            </c:numRef>
          </c:val>
          <c:smooth val="0"/>
        </c:ser>
        <c:dLbls>
          <c:showLegendKey val="0"/>
          <c:showVal val="1"/>
          <c:showCatName val="0"/>
          <c:showSerName val="0"/>
          <c:showPercent val="0"/>
          <c:showBubbleSize val="0"/>
        </c:dLbls>
        <c:marker val="1"/>
        <c:smooth val="0"/>
        <c:axId val="2107511000"/>
        <c:axId val="2107514008"/>
      </c:lineChart>
      <c:catAx>
        <c:axId val="2107511000"/>
        <c:scaling>
          <c:orientation val="minMax"/>
        </c:scaling>
        <c:delete val="0"/>
        <c:axPos val="b"/>
        <c:numFmt formatCode="General" sourceLinked="1"/>
        <c:majorTickMark val="out"/>
        <c:minorTickMark val="none"/>
        <c:tickLblPos val="nextTo"/>
        <c:txPr>
          <a:bodyPr/>
          <a:lstStyle/>
          <a:p>
            <a:pPr>
              <a:defRPr sz="900"/>
            </a:pPr>
            <a:endParaRPr lang="es-ES"/>
          </a:p>
        </c:txPr>
        <c:crossAx val="2107514008"/>
        <c:crosses val="autoZero"/>
        <c:auto val="1"/>
        <c:lblAlgn val="ctr"/>
        <c:lblOffset val="100"/>
        <c:noMultiLvlLbl val="0"/>
      </c:catAx>
      <c:valAx>
        <c:axId val="2107514008"/>
        <c:scaling>
          <c:orientation val="minMax"/>
        </c:scaling>
        <c:delete val="0"/>
        <c:axPos val="l"/>
        <c:majorGridlines/>
        <c:numFmt formatCode="General" sourceLinked="1"/>
        <c:majorTickMark val="out"/>
        <c:minorTickMark val="none"/>
        <c:tickLblPos val="nextTo"/>
        <c:crossAx val="2107511000"/>
        <c:crosses val="autoZero"/>
        <c:crossBetween val="between"/>
      </c:valAx>
      <c:spPr>
        <a:solidFill>
          <a:schemeClr val="bg2"/>
        </a:solidFill>
      </c:spPr>
    </c:plotArea>
    <c:legend>
      <c:legendPos val="r"/>
      <c:layout>
        <c:manualLayout>
          <c:xMode val="edge"/>
          <c:yMode val="edge"/>
          <c:x val="0.773529746281715"/>
          <c:y val="0.647764289880432"/>
          <c:w val="0.207711942257218"/>
          <c:h val="0.170094779819189"/>
        </c:manualLayout>
      </c:layout>
      <c:overlay val="0"/>
      <c:txPr>
        <a:bodyPr/>
        <a:lstStyle/>
        <a:p>
          <a:pPr>
            <a:defRPr sz="900"/>
          </a:pPr>
          <a:endParaRPr lang="es-ES"/>
        </a:p>
      </c:txPr>
    </c:legend>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Hoja1!$F$72</c:f>
              <c:strCache>
                <c:ptCount val="1"/>
              </c:strCache>
            </c:strRef>
          </c:tx>
          <c:invertIfNegative val="0"/>
          <c:dPt>
            <c:idx val="1"/>
            <c:invertIfNegative val="0"/>
            <c:bubble3D val="0"/>
            <c:spPr>
              <a:solidFill>
                <a:srgbClr val="E46C0A"/>
              </a:solidFill>
            </c:spPr>
          </c:dPt>
          <c:dPt>
            <c:idx val="3"/>
            <c:invertIfNegative val="0"/>
            <c:bubble3D val="0"/>
            <c:spPr>
              <a:solidFill>
                <a:srgbClr val="E46C0A"/>
              </a:solidFill>
            </c:spPr>
          </c:dPt>
          <c:dPt>
            <c:idx val="4"/>
            <c:invertIfNegative val="0"/>
            <c:bubble3D val="0"/>
            <c:spPr>
              <a:solidFill>
                <a:srgbClr val="E46C0A"/>
              </a:solidFill>
            </c:spPr>
          </c:dPt>
          <c:dPt>
            <c:idx val="5"/>
            <c:invertIfNegative val="0"/>
            <c:bubble3D val="0"/>
            <c:spPr>
              <a:solidFill>
                <a:srgbClr val="FFFF00"/>
              </a:solidFill>
            </c:spPr>
          </c:dPt>
          <c:dPt>
            <c:idx val="6"/>
            <c:invertIfNegative val="0"/>
            <c:bubble3D val="0"/>
            <c:spPr>
              <a:solidFill>
                <a:srgbClr val="E46C0A"/>
              </a:solidFill>
            </c:spPr>
          </c:dPt>
          <c:dPt>
            <c:idx val="7"/>
            <c:invertIfNegative val="0"/>
            <c:bubble3D val="0"/>
            <c:spPr>
              <a:solidFill>
                <a:schemeClr val="accent6">
                  <a:lumMod val="75000"/>
                </a:schemeClr>
              </a:solidFill>
            </c:spPr>
          </c:dPt>
          <c:dPt>
            <c:idx val="8"/>
            <c:invertIfNegative val="0"/>
            <c:bubble3D val="0"/>
            <c:spPr>
              <a:solidFill>
                <a:schemeClr val="accent3">
                  <a:lumMod val="75000"/>
                </a:schemeClr>
              </a:solidFill>
            </c:spPr>
          </c:dPt>
          <c:dPt>
            <c:idx val="9"/>
            <c:invertIfNegative val="0"/>
            <c:bubble3D val="0"/>
            <c:spPr>
              <a:solidFill>
                <a:srgbClr val="FFFF00"/>
              </a:solidFill>
            </c:spPr>
          </c:dPt>
          <c:dLbls>
            <c:txPr>
              <a:bodyPr/>
              <a:lstStyle/>
              <a:p>
                <a:pPr>
                  <a:defRPr b="1"/>
                </a:pPr>
                <a:endParaRPr lang="es-ES"/>
              </a:p>
            </c:txPr>
            <c:showLegendKey val="0"/>
            <c:showVal val="1"/>
            <c:showCatName val="0"/>
            <c:showSerName val="0"/>
            <c:showPercent val="0"/>
            <c:showBubbleSize val="0"/>
            <c:showLeaderLines val="0"/>
          </c:dLbls>
          <c:cat>
            <c:strRef>
              <c:f>Hoja1!$E$73:$E$83</c:f>
              <c:strCache>
                <c:ptCount val="10"/>
                <c:pt idx="0">
                  <c:v>Fregionalist</c:v>
                </c:pt>
                <c:pt idx="1">
                  <c:v>PRSD</c:v>
                </c:pt>
                <c:pt idx="2">
                  <c:v>PRO</c:v>
                </c:pt>
                <c:pt idx="3">
                  <c:v>DC</c:v>
                </c:pt>
                <c:pt idx="4">
                  <c:v>PC</c:v>
                </c:pt>
                <c:pt idx="5">
                  <c:v>UDI</c:v>
                </c:pt>
                <c:pt idx="6">
                  <c:v>PS</c:v>
                </c:pt>
                <c:pt idx="7">
                  <c:v>PPD</c:v>
                </c:pt>
                <c:pt idx="8">
                  <c:v>F Amplio</c:v>
                </c:pt>
                <c:pt idx="9">
                  <c:v>RN</c:v>
                </c:pt>
              </c:strCache>
            </c:strRef>
          </c:cat>
          <c:val>
            <c:numRef>
              <c:f>Hoja1!$F$73:$F$83</c:f>
              <c:numCache>
                <c:formatCode>General</c:formatCode>
                <c:ptCount val="11"/>
                <c:pt idx="0">
                  <c:v>1.0</c:v>
                </c:pt>
                <c:pt idx="1">
                  <c:v>1.0</c:v>
                </c:pt>
                <c:pt idx="2">
                  <c:v>1.0</c:v>
                </c:pt>
                <c:pt idx="3">
                  <c:v>1.0</c:v>
                </c:pt>
                <c:pt idx="4">
                  <c:v>3.0</c:v>
                </c:pt>
                <c:pt idx="5">
                  <c:v>4.0</c:v>
                </c:pt>
                <c:pt idx="6">
                  <c:v>4.0</c:v>
                </c:pt>
                <c:pt idx="7">
                  <c:v>4.0</c:v>
                </c:pt>
                <c:pt idx="8">
                  <c:v>7.0</c:v>
                </c:pt>
                <c:pt idx="9">
                  <c:v>10.0</c:v>
                </c:pt>
              </c:numCache>
            </c:numRef>
          </c:val>
        </c:ser>
        <c:dLbls>
          <c:showLegendKey val="0"/>
          <c:showVal val="1"/>
          <c:showCatName val="0"/>
          <c:showSerName val="0"/>
          <c:showPercent val="0"/>
          <c:showBubbleSize val="0"/>
        </c:dLbls>
        <c:gapWidth val="150"/>
        <c:shape val="cylinder"/>
        <c:axId val="2107351400"/>
        <c:axId val="2107365048"/>
        <c:axId val="0"/>
      </c:bar3DChart>
      <c:catAx>
        <c:axId val="2107351400"/>
        <c:scaling>
          <c:orientation val="minMax"/>
        </c:scaling>
        <c:delete val="0"/>
        <c:axPos val="b"/>
        <c:majorTickMark val="out"/>
        <c:minorTickMark val="none"/>
        <c:tickLblPos val="nextTo"/>
        <c:txPr>
          <a:bodyPr/>
          <a:lstStyle/>
          <a:p>
            <a:pPr>
              <a:defRPr sz="800" b="1"/>
            </a:pPr>
            <a:endParaRPr lang="es-ES"/>
          </a:p>
        </c:txPr>
        <c:crossAx val="2107365048"/>
        <c:crosses val="autoZero"/>
        <c:auto val="1"/>
        <c:lblAlgn val="ctr"/>
        <c:lblOffset val="100"/>
        <c:noMultiLvlLbl val="0"/>
      </c:catAx>
      <c:valAx>
        <c:axId val="2107365048"/>
        <c:scaling>
          <c:orientation val="minMax"/>
        </c:scaling>
        <c:delete val="0"/>
        <c:axPos val="l"/>
        <c:majorGridlines/>
        <c:numFmt formatCode="General" sourceLinked="1"/>
        <c:majorTickMark val="out"/>
        <c:minorTickMark val="none"/>
        <c:tickLblPos val="nextTo"/>
        <c:crossAx val="2107351400"/>
        <c:crosses val="autoZero"/>
        <c:crossBetween val="between"/>
      </c:valAx>
      <c:spPr>
        <a:solidFill>
          <a:schemeClr val="bg2"/>
        </a:solidFill>
      </c:spPr>
    </c:plotArea>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829</Words>
  <Characters>4564</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5</cp:revision>
  <dcterms:created xsi:type="dcterms:W3CDTF">2017-11-28T22:22:00Z</dcterms:created>
  <dcterms:modified xsi:type="dcterms:W3CDTF">2017-12-04T12:48:00Z</dcterms:modified>
</cp:coreProperties>
</file>