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F315B" w14:textId="42329349" w:rsidR="00D03402" w:rsidRPr="0020575F" w:rsidRDefault="00D03402" w:rsidP="0020575F">
      <w:pPr>
        <w:spacing w:line="360" w:lineRule="auto"/>
        <w:jc w:val="center"/>
        <w:rPr>
          <w:rFonts w:ascii="Book Antiqua" w:hAnsi="Book Antiqua"/>
          <w:b/>
          <w:sz w:val="28"/>
          <w:szCs w:val="28"/>
          <w:lang w:val="es-ES"/>
        </w:rPr>
      </w:pPr>
      <w:r w:rsidRPr="0020575F">
        <w:rPr>
          <w:rFonts w:ascii="Book Antiqua" w:hAnsi="Book Antiqua"/>
          <w:b/>
          <w:sz w:val="28"/>
          <w:szCs w:val="28"/>
          <w:lang w:val="es-ES"/>
        </w:rPr>
        <w:t xml:space="preserve">Nudos Problemáticos subsistentes </w:t>
      </w:r>
      <w:r w:rsidR="005C5DBD" w:rsidRPr="0020575F">
        <w:rPr>
          <w:rFonts w:ascii="Book Antiqua" w:hAnsi="Book Antiqua"/>
          <w:b/>
          <w:sz w:val="28"/>
          <w:szCs w:val="28"/>
          <w:lang w:val="es-ES"/>
        </w:rPr>
        <w:t>en el Proyecto de Ley q</w:t>
      </w:r>
      <w:r w:rsidRPr="0020575F">
        <w:rPr>
          <w:rFonts w:ascii="Book Antiqua" w:hAnsi="Book Antiqua"/>
          <w:b/>
          <w:sz w:val="28"/>
          <w:szCs w:val="28"/>
          <w:lang w:val="es-ES"/>
        </w:rPr>
        <w:t xml:space="preserve">ue crea el </w:t>
      </w:r>
      <w:r w:rsidR="0020575F">
        <w:rPr>
          <w:rFonts w:ascii="Book Antiqua" w:hAnsi="Book Antiqua"/>
          <w:b/>
          <w:sz w:val="28"/>
          <w:szCs w:val="28"/>
          <w:lang w:val="es-ES"/>
        </w:rPr>
        <w:t>Ministerio de Pueblos Indígenas</w:t>
      </w:r>
      <w:r w:rsidR="0009249F">
        <w:rPr>
          <w:rFonts w:ascii="Book Antiqua" w:hAnsi="Book Antiqua"/>
          <w:b/>
          <w:sz w:val="28"/>
          <w:szCs w:val="28"/>
          <w:lang w:val="es-ES"/>
        </w:rPr>
        <w:t xml:space="preserve"> 1</w:t>
      </w:r>
      <w:bookmarkStart w:id="0" w:name="_GoBack"/>
      <w:bookmarkEnd w:id="0"/>
    </w:p>
    <w:p w14:paraId="425566AC" w14:textId="77777777" w:rsidR="00D03402" w:rsidRDefault="00D03402" w:rsidP="00E76E77">
      <w:pPr>
        <w:spacing w:line="360" w:lineRule="auto"/>
        <w:rPr>
          <w:lang w:val="es-ES"/>
        </w:rPr>
      </w:pPr>
    </w:p>
    <w:p w14:paraId="694B9F5C" w14:textId="77777777" w:rsidR="00D35461" w:rsidRDefault="00D35461" w:rsidP="00E76E77">
      <w:pPr>
        <w:spacing w:line="360" w:lineRule="auto"/>
        <w:rPr>
          <w:lang w:val="es-ES"/>
        </w:rPr>
      </w:pPr>
    </w:p>
    <w:p w14:paraId="36DFFC8A" w14:textId="306F8526" w:rsidR="00690D09" w:rsidRPr="00DE2076" w:rsidRDefault="00690D09" w:rsidP="00DE2076">
      <w:pPr>
        <w:spacing w:line="360" w:lineRule="auto"/>
        <w:jc w:val="both"/>
        <w:rPr>
          <w:rFonts w:ascii="Book Antiqua" w:hAnsi="Book Antiqua"/>
          <w:lang w:val="es-ES"/>
        </w:rPr>
      </w:pPr>
      <w:r w:rsidRPr="00DE2076">
        <w:rPr>
          <w:rFonts w:ascii="Book Antiqua" w:hAnsi="Book Antiqua"/>
          <w:lang w:val="es-ES"/>
        </w:rPr>
        <w:t xml:space="preserve">El proyecto de </w:t>
      </w:r>
      <w:r w:rsidR="00DE2076" w:rsidRPr="00DE2076">
        <w:rPr>
          <w:rFonts w:ascii="Book Antiqua" w:hAnsi="Book Antiqua"/>
          <w:lang w:val="es-ES"/>
        </w:rPr>
        <w:t xml:space="preserve">Ley que crea el </w:t>
      </w:r>
      <w:r w:rsidRPr="00DE2076">
        <w:rPr>
          <w:rFonts w:ascii="Book Antiqua" w:hAnsi="Book Antiqua"/>
          <w:lang w:val="es-ES"/>
        </w:rPr>
        <w:t>Ministerio de Pueblos Indígenas, Boletín Nro</w:t>
      </w:r>
      <w:r w:rsidR="0020575F" w:rsidRPr="00DE2076">
        <w:rPr>
          <w:rFonts w:ascii="Book Antiqua" w:hAnsi="Book Antiqua"/>
          <w:lang w:val="es-ES"/>
        </w:rPr>
        <w:t xml:space="preserve"> </w:t>
      </w:r>
      <w:r w:rsidR="00DE2076" w:rsidRPr="00DE2076">
        <w:rPr>
          <w:rFonts w:ascii="Book Antiqua" w:hAnsi="Book Antiqua"/>
          <w:lang w:val="es-ES"/>
        </w:rPr>
        <w:t>10.687-06</w:t>
      </w:r>
      <w:r w:rsidRPr="00DE2076">
        <w:rPr>
          <w:rFonts w:ascii="Book Antiqua" w:hAnsi="Book Antiqua"/>
          <w:lang w:val="es-ES"/>
        </w:rPr>
        <w:t>, ingreso a segundo trámite constitucional en el Senado</w:t>
      </w:r>
      <w:r w:rsidR="00DE2076" w:rsidRPr="00DE2076">
        <w:rPr>
          <w:rFonts w:ascii="Book Antiqua" w:hAnsi="Book Antiqua"/>
          <w:lang w:val="es-ES"/>
        </w:rPr>
        <w:t xml:space="preserve"> el 4 de octubre de 2017</w:t>
      </w:r>
      <w:r w:rsidRPr="00DE2076">
        <w:rPr>
          <w:rFonts w:ascii="Book Antiqua" w:hAnsi="Book Antiqua"/>
          <w:lang w:val="es-ES"/>
        </w:rPr>
        <w:t xml:space="preserve">, siendo actualmente estudiado por la Comisión de </w:t>
      </w:r>
      <w:r w:rsidR="00DE2076" w:rsidRPr="00DE2076">
        <w:rPr>
          <w:rFonts w:ascii="Book Antiqua" w:hAnsi="Book Antiqua"/>
          <w:lang w:val="es-ES"/>
        </w:rPr>
        <w:t xml:space="preserve">Gobierno, </w:t>
      </w:r>
      <w:r w:rsidRPr="00DE2076">
        <w:rPr>
          <w:rFonts w:ascii="Book Antiqua" w:hAnsi="Book Antiqua"/>
          <w:lang w:val="es-ES"/>
        </w:rPr>
        <w:t>Descentralización</w:t>
      </w:r>
      <w:r w:rsidR="00DE2076" w:rsidRPr="00DE2076">
        <w:rPr>
          <w:rFonts w:ascii="Book Antiqua" w:hAnsi="Book Antiqua"/>
          <w:lang w:val="es-ES"/>
        </w:rPr>
        <w:t xml:space="preserve"> y Regionalización</w:t>
      </w:r>
      <w:r w:rsidR="00D72077" w:rsidRPr="00DE2076">
        <w:rPr>
          <w:rFonts w:ascii="Book Antiqua" w:hAnsi="Book Antiqua"/>
          <w:lang w:val="es-ES"/>
        </w:rPr>
        <w:t>, la</w:t>
      </w:r>
      <w:r w:rsidR="00DE2076" w:rsidRPr="00DE2076">
        <w:rPr>
          <w:rFonts w:ascii="Book Antiqua" w:hAnsi="Book Antiqua"/>
          <w:lang w:val="es-ES"/>
        </w:rPr>
        <w:t>s</w:t>
      </w:r>
      <w:r w:rsidR="00D72077" w:rsidRPr="00DE2076">
        <w:rPr>
          <w:rFonts w:ascii="Book Antiqua" w:hAnsi="Book Antiqua"/>
          <w:lang w:val="es-ES"/>
        </w:rPr>
        <w:t xml:space="preserve"> c</w:t>
      </w:r>
      <w:r w:rsidR="00DE2076" w:rsidRPr="00DE2076">
        <w:rPr>
          <w:rFonts w:ascii="Book Antiqua" w:hAnsi="Book Antiqua"/>
          <w:lang w:val="es-ES"/>
        </w:rPr>
        <w:t>u</w:t>
      </w:r>
      <w:r w:rsidR="00D72077" w:rsidRPr="00DE2076">
        <w:rPr>
          <w:rFonts w:ascii="Book Antiqua" w:hAnsi="Book Antiqua"/>
          <w:lang w:val="es-ES"/>
        </w:rPr>
        <w:t>al</w:t>
      </w:r>
      <w:r w:rsidR="00DE2076" w:rsidRPr="00DE2076">
        <w:rPr>
          <w:rFonts w:ascii="Book Antiqua" w:hAnsi="Book Antiqua"/>
          <w:lang w:val="es-ES"/>
        </w:rPr>
        <w:t>es</w:t>
      </w:r>
      <w:r w:rsidR="00D72077" w:rsidRPr="00DE2076">
        <w:rPr>
          <w:rFonts w:ascii="Book Antiqua" w:hAnsi="Book Antiqua"/>
          <w:lang w:val="es-ES"/>
        </w:rPr>
        <w:t xml:space="preserve"> aún no emite</w:t>
      </w:r>
      <w:r w:rsidR="00DE2076" w:rsidRPr="00DE2076">
        <w:rPr>
          <w:rFonts w:ascii="Book Antiqua" w:hAnsi="Book Antiqua"/>
          <w:lang w:val="es-ES"/>
        </w:rPr>
        <w:t>n</w:t>
      </w:r>
      <w:r w:rsidR="00D72077" w:rsidRPr="00DE2076">
        <w:rPr>
          <w:rFonts w:ascii="Book Antiqua" w:hAnsi="Book Antiqua"/>
          <w:lang w:val="es-ES"/>
        </w:rPr>
        <w:t xml:space="preserve"> su primer informe. </w:t>
      </w:r>
    </w:p>
    <w:p w14:paraId="5D7AB0B1" w14:textId="77777777" w:rsidR="00690D09" w:rsidRPr="00DE2076" w:rsidRDefault="00690D09" w:rsidP="00DE2076">
      <w:pPr>
        <w:spacing w:line="360" w:lineRule="auto"/>
        <w:jc w:val="both"/>
        <w:rPr>
          <w:rFonts w:ascii="Book Antiqua" w:hAnsi="Book Antiqua"/>
          <w:lang w:val="es-ES"/>
        </w:rPr>
      </w:pPr>
    </w:p>
    <w:p w14:paraId="61509CA3" w14:textId="77777777" w:rsidR="00090AD2" w:rsidRPr="00DE2076" w:rsidRDefault="00D03402" w:rsidP="00DE2076">
      <w:pPr>
        <w:spacing w:line="360" w:lineRule="auto"/>
        <w:jc w:val="both"/>
        <w:rPr>
          <w:rFonts w:ascii="Book Antiqua" w:hAnsi="Book Antiqua"/>
          <w:b/>
          <w:lang w:val="es-ES"/>
        </w:rPr>
      </w:pPr>
      <w:r w:rsidRPr="00DE2076">
        <w:rPr>
          <w:rFonts w:ascii="Book Antiqua" w:hAnsi="Book Antiqua"/>
          <w:b/>
          <w:lang w:val="es-ES"/>
        </w:rPr>
        <w:t>1.- Consulta Indí</w:t>
      </w:r>
      <w:r w:rsidR="00090AD2" w:rsidRPr="00DE2076">
        <w:rPr>
          <w:rFonts w:ascii="Book Antiqua" w:hAnsi="Book Antiqua"/>
          <w:b/>
          <w:lang w:val="es-ES"/>
        </w:rPr>
        <w:t>gena:</w:t>
      </w:r>
    </w:p>
    <w:p w14:paraId="6C961658" w14:textId="77777777" w:rsidR="00090AD2" w:rsidRPr="00DE2076" w:rsidRDefault="00884CF5" w:rsidP="00DE2076">
      <w:pPr>
        <w:spacing w:line="360" w:lineRule="auto"/>
        <w:jc w:val="both"/>
        <w:rPr>
          <w:rFonts w:ascii="Book Antiqua" w:hAnsi="Book Antiqua"/>
          <w:lang w:val="es-ES"/>
        </w:rPr>
      </w:pPr>
      <w:r w:rsidRPr="00DE2076">
        <w:rPr>
          <w:rFonts w:ascii="Book Antiqua" w:hAnsi="Book Antiqua"/>
          <w:b/>
          <w:lang w:val="es-ES"/>
        </w:rPr>
        <w:t>a) Calificación de Susceptibilidad de Afectación Directa:</w:t>
      </w:r>
      <w:r w:rsidRPr="00DE2076">
        <w:rPr>
          <w:rFonts w:ascii="Book Antiqua" w:hAnsi="Book Antiqua"/>
          <w:lang w:val="es-ES"/>
        </w:rPr>
        <w:t xml:space="preserve"> La calificación de la susceptibilidad de afectación directa de las medidas administrativas y legislativas </w:t>
      </w:r>
      <w:r w:rsidR="00877A1F" w:rsidRPr="00DE2076">
        <w:rPr>
          <w:rFonts w:ascii="Book Antiqua" w:hAnsi="Book Antiqua"/>
          <w:lang w:val="es-ES"/>
        </w:rPr>
        <w:t>para los pueblos indí</w:t>
      </w:r>
      <w:r w:rsidR="00DA4A04" w:rsidRPr="00DE2076">
        <w:rPr>
          <w:rFonts w:ascii="Book Antiqua" w:hAnsi="Book Antiqua"/>
          <w:lang w:val="es-ES"/>
        </w:rPr>
        <w:t xml:space="preserve">genas recae en manos del Comité Interministerial. Los Consejos de Pueblos Indígenas emiten su opinión al respecto. </w:t>
      </w:r>
      <w:r w:rsidR="00CD59EA" w:rsidRPr="00DE2076">
        <w:rPr>
          <w:rFonts w:ascii="Book Antiqua" w:hAnsi="Book Antiqua"/>
          <w:lang w:val="es-ES"/>
        </w:rPr>
        <w:t>El Ministerio emite su propio informe técnico, que puede ser o no concordante con el parecer de los consejos de pueblos.</w:t>
      </w:r>
    </w:p>
    <w:p w14:paraId="54E414D8" w14:textId="77777777" w:rsidR="001B635D" w:rsidRPr="00DE2076" w:rsidRDefault="001B635D" w:rsidP="00DE2076">
      <w:pPr>
        <w:spacing w:line="360" w:lineRule="auto"/>
        <w:jc w:val="both"/>
        <w:rPr>
          <w:rFonts w:ascii="Book Antiqua" w:hAnsi="Book Antiqua"/>
          <w:lang w:val="es-ES"/>
        </w:rPr>
      </w:pPr>
      <w:r w:rsidRPr="00DE2076">
        <w:rPr>
          <w:rFonts w:ascii="Book Antiqua" w:hAnsi="Book Antiqua"/>
          <w:lang w:val="es-ES"/>
        </w:rPr>
        <w:t xml:space="preserve">No existe otra posibilidad </w:t>
      </w:r>
      <w:r w:rsidR="00CD59EA" w:rsidRPr="00DE2076">
        <w:rPr>
          <w:rFonts w:ascii="Book Antiqua" w:hAnsi="Book Antiqua"/>
          <w:lang w:val="es-ES"/>
        </w:rPr>
        <w:t xml:space="preserve">formal para </w:t>
      </w:r>
      <w:r w:rsidRPr="00DE2076">
        <w:rPr>
          <w:rFonts w:ascii="Book Antiqua" w:hAnsi="Book Antiqua"/>
          <w:lang w:val="es-ES"/>
        </w:rPr>
        <w:t>que las comunidades hagan u otras organizaciones indígenas y no indígenas hagan llegar sus pareceres, más que por la vía de los Consejos de Pueblos Indígenas</w:t>
      </w:r>
      <w:r w:rsidR="00CD59EA" w:rsidRPr="00DE2076">
        <w:rPr>
          <w:rFonts w:ascii="Book Antiqua" w:hAnsi="Book Antiqua"/>
          <w:lang w:val="es-ES"/>
        </w:rPr>
        <w:t xml:space="preserve">. Sería mucho más transparente que las comunidades y organizaciones indígenas pudieran remitir sus opiniones sobre la susceptibilidad de afectación directa al Comité que decide, así como otras instituciones como universidades o centros de investigación. </w:t>
      </w:r>
    </w:p>
    <w:p w14:paraId="4D008B71" w14:textId="77777777" w:rsidR="00CD59EA" w:rsidRPr="00DE2076" w:rsidRDefault="00CD59EA" w:rsidP="00DE2076">
      <w:pPr>
        <w:spacing w:line="360" w:lineRule="auto"/>
        <w:jc w:val="both"/>
        <w:rPr>
          <w:rFonts w:ascii="Book Antiqua" w:hAnsi="Book Antiqua"/>
          <w:lang w:val="es-ES"/>
        </w:rPr>
      </w:pPr>
      <w:r w:rsidRPr="00DE2076">
        <w:rPr>
          <w:rFonts w:ascii="Book Antiqua" w:hAnsi="Book Antiqua"/>
          <w:lang w:val="es-ES"/>
        </w:rPr>
        <w:t>La resolución final sobre la calificación radica exclusivamente en el Estado</w:t>
      </w:r>
      <w:r w:rsidR="00E23A04" w:rsidRPr="00DE2076">
        <w:rPr>
          <w:rFonts w:ascii="Book Antiqua" w:hAnsi="Book Antiqua"/>
          <w:lang w:val="es-ES"/>
        </w:rPr>
        <w:t xml:space="preserve"> y el G</w:t>
      </w:r>
      <w:r w:rsidR="00E76E77" w:rsidRPr="00DE2076">
        <w:rPr>
          <w:rFonts w:ascii="Book Antiqua" w:hAnsi="Book Antiqua"/>
          <w:lang w:val="es-ES"/>
        </w:rPr>
        <w:t>obierno</w:t>
      </w:r>
      <w:r w:rsidRPr="00DE2076">
        <w:rPr>
          <w:rFonts w:ascii="Book Antiqua" w:hAnsi="Book Antiqua"/>
          <w:lang w:val="es-ES"/>
        </w:rPr>
        <w:t xml:space="preserve">, en el Comité Interministerial. </w:t>
      </w:r>
      <w:r w:rsidR="00E76E77" w:rsidRPr="00DE2076">
        <w:rPr>
          <w:rFonts w:ascii="Book Antiqua" w:hAnsi="Book Antiqua"/>
          <w:lang w:val="es-ES"/>
        </w:rPr>
        <w:t xml:space="preserve">No existe en este caso una garantía de imparcialidad, ni tampoco se establecen reglas legales de procedimiento para el Comité, pues su regulación se deja al reglamento. </w:t>
      </w:r>
      <w:r w:rsidR="005C5DBD" w:rsidRPr="00DE2076">
        <w:rPr>
          <w:rFonts w:ascii="Book Antiqua" w:hAnsi="Book Antiqua"/>
          <w:lang w:val="es-ES"/>
        </w:rPr>
        <w:t xml:space="preserve">No es claro que el Comité pueda asegurar la experticia técnica para tomar esas decisiones, y se corre el riesgo que se transformen en decisiones más bien de índole política. </w:t>
      </w:r>
    </w:p>
    <w:p w14:paraId="1E1D9F63" w14:textId="77777777" w:rsidR="00BF377E" w:rsidRPr="00DE2076" w:rsidRDefault="00BF377E" w:rsidP="00DE2076">
      <w:pPr>
        <w:spacing w:line="360" w:lineRule="auto"/>
        <w:jc w:val="both"/>
        <w:rPr>
          <w:rFonts w:ascii="Book Antiqua" w:hAnsi="Book Antiqua"/>
          <w:b/>
          <w:lang w:val="es-ES"/>
        </w:rPr>
      </w:pPr>
    </w:p>
    <w:p w14:paraId="28F25A40" w14:textId="77777777" w:rsidR="00E76E77" w:rsidRPr="00DE2076" w:rsidRDefault="00E76E77" w:rsidP="00DE2076">
      <w:pPr>
        <w:spacing w:line="360" w:lineRule="auto"/>
        <w:jc w:val="both"/>
        <w:rPr>
          <w:rFonts w:ascii="Book Antiqua" w:hAnsi="Book Antiqua"/>
          <w:lang w:val="es-ES"/>
        </w:rPr>
      </w:pPr>
      <w:r w:rsidRPr="00DE2076">
        <w:rPr>
          <w:rFonts w:ascii="Book Antiqua" w:hAnsi="Book Antiqua"/>
          <w:b/>
          <w:lang w:val="es-ES"/>
        </w:rPr>
        <w:lastRenderedPageBreak/>
        <w:t>b) Ejecución de las consultas indígenas:</w:t>
      </w:r>
      <w:r w:rsidRPr="00DE2076">
        <w:rPr>
          <w:rFonts w:ascii="Book Antiqua" w:hAnsi="Book Antiqua"/>
          <w:lang w:val="es-ES"/>
        </w:rPr>
        <w:t xml:space="preserve"> Se mantiene un modelo disperso de realización de las consultas indígenas, radicando las competencias en </w:t>
      </w:r>
      <w:r w:rsidR="00E23A04" w:rsidRPr="00DE2076">
        <w:rPr>
          <w:rFonts w:ascii="Book Antiqua" w:hAnsi="Book Antiqua"/>
          <w:lang w:val="es-ES"/>
        </w:rPr>
        <w:t xml:space="preserve">cada unidad estatal que sea competente para dictar la medida objeto de consulta. </w:t>
      </w:r>
      <w:r w:rsidR="005C5DBD" w:rsidRPr="00DE2076">
        <w:rPr>
          <w:rFonts w:ascii="Book Antiqua" w:hAnsi="Book Antiqua"/>
          <w:lang w:val="es-ES"/>
        </w:rPr>
        <w:t>Los proyectos de inversión, que son los que mayor inquietud social generan, quedan en el Sistema de Evaluación Ambiental. No se resuelve con la ley el problema de que hay instituciones estatales donde no se regula la implementació</w:t>
      </w:r>
      <w:r w:rsidR="004C4ACE" w:rsidRPr="00DE2076">
        <w:rPr>
          <w:rFonts w:ascii="Book Antiqua" w:hAnsi="Book Antiqua"/>
          <w:lang w:val="es-ES"/>
        </w:rPr>
        <w:t>n de consultas, pese a que caen bajo el ámbito del art 6 del Convenio 169, como el Congreso Naciona</w:t>
      </w:r>
      <w:r w:rsidR="00EE1CBC" w:rsidRPr="00DE2076">
        <w:rPr>
          <w:rFonts w:ascii="Book Antiqua" w:hAnsi="Book Antiqua"/>
          <w:lang w:val="es-ES"/>
        </w:rPr>
        <w:t xml:space="preserve">l y las Municipalidades. </w:t>
      </w:r>
    </w:p>
    <w:p w14:paraId="747D07D0" w14:textId="77777777" w:rsidR="00EE1CBC" w:rsidRPr="00DE2076" w:rsidRDefault="00EE1CBC" w:rsidP="00DE2076">
      <w:pPr>
        <w:spacing w:line="360" w:lineRule="auto"/>
        <w:jc w:val="both"/>
        <w:rPr>
          <w:rFonts w:ascii="Book Antiqua" w:hAnsi="Book Antiqua"/>
          <w:lang w:val="es-ES"/>
        </w:rPr>
      </w:pPr>
      <w:r w:rsidRPr="00DE2076">
        <w:rPr>
          <w:rFonts w:ascii="Book Antiqua" w:hAnsi="Book Antiqua"/>
          <w:lang w:val="es-ES"/>
        </w:rPr>
        <w:t xml:space="preserve">Un modelo disperso no asegura que el Estado pueda aprender de sus buenas prácticas o corregir sus prácticas cuestionables para los estándares internacionales. Se dispersan los recursos para las consultas </w:t>
      </w:r>
      <w:r w:rsidR="00E06E71" w:rsidRPr="00DE2076">
        <w:rPr>
          <w:rFonts w:ascii="Book Antiqua" w:hAnsi="Book Antiqua"/>
          <w:lang w:val="es-ES"/>
        </w:rPr>
        <w:t xml:space="preserve">y se evita la especialización de los responsables, la determinación de las prácticas culturales que deben atender y las autoridades representativas que deben canalizar las consultas. </w:t>
      </w:r>
      <w:r w:rsidR="00217482" w:rsidRPr="00DE2076">
        <w:rPr>
          <w:rFonts w:ascii="Book Antiqua" w:hAnsi="Book Antiqua"/>
          <w:lang w:val="es-ES"/>
        </w:rPr>
        <w:t xml:space="preserve">Cada consulta debe empezar prácticamente de cero y la inexistencia de una unidad central a cargo de las consultas dificulta la coordinación entre las diversas unidades que pueden conducir muchas consultas en un mismo territorio. </w:t>
      </w:r>
    </w:p>
    <w:p w14:paraId="7BA1AA19" w14:textId="77777777" w:rsidR="00090AD2" w:rsidRPr="00DE2076" w:rsidRDefault="00090AD2" w:rsidP="00DE2076">
      <w:pPr>
        <w:spacing w:line="360" w:lineRule="auto"/>
        <w:jc w:val="both"/>
        <w:rPr>
          <w:rFonts w:ascii="Book Antiqua" w:hAnsi="Book Antiqua"/>
          <w:lang w:val="es-ES"/>
        </w:rPr>
      </w:pPr>
    </w:p>
    <w:p w14:paraId="040784E3" w14:textId="5D6DCE65" w:rsidR="00090AD2" w:rsidRPr="00DE2076" w:rsidRDefault="00A645E6" w:rsidP="00DE2076">
      <w:pPr>
        <w:spacing w:line="360" w:lineRule="auto"/>
        <w:jc w:val="both"/>
        <w:rPr>
          <w:rFonts w:ascii="Book Antiqua" w:hAnsi="Book Antiqua"/>
          <w:lang w:val="es-ES"/>
        </w:rPr>
      </w:pPr>
      <w:r w:rsidRPr="00DE2076">
        <w:rPr>
          <w:rFonts w:ascii="Book Antiqua" w:hAnsi="Book Antiqua"/>
          <w:b/>
          <w:lang w:val="es-ES"/>
        </w:rPr>
        <w:t>c) Evaluación de las consultas:</w:t>
      </w:r>
      <w:r w:rsidRPr="00DE2076">
        <w:rPr>
          <w:rFonts w:ascii="Book Antiqua" w:hAnsi="Book Antiqua"/>
          <w:lang w:val="es-ES"/>
        </w:rPr>
        <w:t xml:space="preserve"> No se establecen competencias, ni para el Ministerio, los Consejos de Pueblos o el Comité Interministerial </w:t>
      </w:r>
      <w:r w:rsidR="00107DA8" w:rsidRPr="00DE2076">
        <w:rPr>
          <w:rFonts w:ascii="Book Antiqua" w:hAnsi="Book Antiqua"/>
          <w:lang w:val="es-ES"/>
        </w:rPr>
        <w:t xml:space="preserve">de evaluar los resultados de los procedimientos de consultas. </w:t>
      </w:r>
    </w:p>
    <w:p w14:paraId="6AFD33F7" w14:textId="77777777" w:rsidR="00A645E6" w:rsidRPr="00DE2076" w:rsidRDefault="00A645E6" w:rsidP="00DE2076">
      <w:pPr>
        <w:spacing w:line="360" w:lineRule="auto"/>
        <w:jc w:val="both"/>
        <w:rPr>
          <w:rFonts w:ascii="Book Antiqua" w:hAnsi="Book Antiqua"/>
          <w:lang w:val="es-ES"/>
        </w:rPr>
      </w:pPr>
    </w:p>
    <w:p w14:paraId="2F81990F" w14:textId="647833FC" w:rsidR="00231000" w:rsidRPr="00DE2076" w:rsidRDefault="00090AD2" w:rsidP="00DE2076">
      <w:pPr>
        <w:spacing w:line="360" w:lineRule="auto"/>
        <w:jc w:val="both"/>
        <w:rPr>
          <w:rFonts w:ascii="Book Antiqua" w:hAnsi="Book Antiqua" w:cs="Courier New"/>
          <w:b/>
        </w:rPr>
      </w:pPr>
      <w:r w:rsidRPr="00DE2076">
        <w:rPr>
          <w:rFonts w:ascii="Book Antiqua" w:hAnsi="Book Antiqua"/>
          <w:b/>
          <w:lang w:val="es-ES"/>
        </w:rPr>
        <w:t xml:space="preserve">2.-  </w:t>
      </w:r>
      <w:r w:rsidR="00DD0701" w:rsidRPr="00DE2076">
        <w:rPr>
          <w:rFonts w:ascii="Book Antiqua" w:hAnsi="Book Antiqua"/>
          <w:b/>
          <w:lang w:val="es-ES"/>
        </w:rPr>
        <w:t xml:space="preserve">Comité Interministerial </w:t>
      </w:r>
      <w:r w:rsidR="00DD0701" w:rsidRPr="00DE2076">
        <w:rPr>
          <w:rFonts w:ascii="Book Antiqua" w:hAnsi="Book Antiqua" w:cs="Courier New"/>
          <w:b/>
        </w:rPr>
        <w:t xml:space="preserve">sobre Pueblos Indígenas: </w:t>
      </w:r>
    </w:p>
    <w:p w14:paraId="6D0E9BB4" w14:textId="0A07638E" w:rsidR="00DD0701" w:rsidRPr="00DE2076" w:rsidRDefault="008A0BFB" w:rsidP="00DE2076">
      <w:pPr>
        <w:spacing w:line="360" w:lineRule="auto"/>
        <w:jc w:val="both"/>
        <w:rPr>
          <w:rFonts w:ascii="Book Antiqua" w:hAnsi="Book Antiqua" w:cs="Courier New"/>
        </w:rPr>
      </w:pPr>
      <w:r w:rsidRPr="00DE2076">
        <w:rPr>
          <w:rFonts w:ascii="Book Antiqua" w:hAnsi="Book Antiqua" w:cs="Courier New"/>
        </w:rPr>
        <w:t xml:space="preserve">Además de la consulta indígena, no existe una determinación en el proyecto de ley de las funciones e integración del Comité Interministerial, la cual es dejada para el reglamento. </w:t>
      </w:r>
    </w:p>
    <w:p w14:paraId="0622D899" w14:textId="5B2101B0" w:rsidR="008A0BFB" w:rsidRPr="00DE2076" w:rsidRDefault="008A0BFB" w:rsidP="00DE2076">
      <w:pPr>
        <w:spacing w:line="360" w:lineRule="auto"/>
        <w:jc w:val="both"/>
        <w:rPr>
          <w:rFonts w:ascii="Book Antiqua" w:hAnsi="Book Antiqua" w:cs="Courier New"/>
        </w:rPr>
      </w:pPr>
      <w:r w:rsidRPr="00DE2076">
        <w:rPr>
          <w:rFonts w:ascii="Book Antiqua" w:hAnsi="Book Antiqua" w:cs="Courier New"/>
        </w:rPr>
        <w:t xml:space="preserve">Como técnica legislativa es dudoso que exista esta indeterminación y que sea </w:t>
      </w:r>
      <w:r w:rsidR="00D658A0" w:rsidRPr="00DE2076">
        <w:rPr>
          <w:rFonts w:ascii="Book Antiqua" w:hAnsi="Book Antiqua" w:cs="Courier New"/>
        </w:rPr>
        <w:t xml:space="preserve">el reglamento la fuente </w:t>
      </w:r>
      <w:r w:rsidR="00651597" w:rsidRPr="00DE2076">
        <w:rPr>
          <w:rFonts w:ascii="Book Antiqua" w:hAnsi="Book Antiqua" w:cs="Courier New"/>
        </w:rPr>
        <w:t xml:space="preserve">formal </w:t>
      </w:r>
      <w:r w:rsidR="00D658A0" w:rsidRPr="00DE2076">
        <w:rPr>
          <w:rFonts w:ascii="Book Antiqua" w:hAnsi="Book Antiqua" w:cs="Courier New"/>
        </w:rPr>
        <w:t xml:space="preserve">llamada a establecer dichas regulaciones. </w:t>
      </w:r>
      <w:r w:rsidR="00651597" w:rsidRPr="00DE2076">
        <w:rPr>
          <w:rFonts w:ascii="Book Antiqua" w:hAnsi="Book Antiqua" w:cs="Courier New"/>
        </w:rPr>
        <w:t xml:space="preserve">Esto significaría que no podría tener el Comité otras funciones que aquellas de compartición de información y coordinación informal de actividades e iniciativas. </w:t>
      </w:r>
    </w:p>
    <w:p w14:paraId="1C4AB221" w14:textId="16D65925" w:rsidR="00651597" w:rsidRPr="00DE2076" w:rsidRDefault="00651597" w:rsidP="00DE2076">
      <w:pPr>
        <w:spacing w:line="360" w:lineRule="auto"/>
        <w:jc w:val="both"/>
        <w:rPr>
          <w:rFonts w:ascii="Book Antiqua" w:hAnsi="Book Antiqua" w:cs="Courier New"/>
        </w:rPr>
      </w:pPr>
      <w:r w:rsidRPr="00DE2076">
        <w:rPr>
          <w:rFonts w:ascii="Book Antiqua" w:hAnsi="Book Antiqua" w:cs="Courier New"/>
        </w:rPr>
        <w:t xml:space="preserve">En este sentido, el proyecto de ley podría ser mucho más específico, estableciendo mecanismos de trabajo que faciliten que el Comité sirva como un instrumento de coordinación de la política nacional indígena intersectorial por parte del Ministerio de Pueblos Indígenas. </w:t>
      </w:r>
    </w:p>
    <w:p w14:paraId="39C16676" w14:textId="19698FF1" w:rsidR="007D1EB2" w:rsidRPr="00DE2076" w:rsidRDefault="007D1EB2" w:rsidP="00DE2076">
      <w:pPr>
        <w:spacing w:line="360" w:lineRule="auto"/>
        <w:jc w:val="both"/>
        <w:rPr>
          <w:rFonts w:ascii="Book Antiqua" w:hAnsi="Book Antiqua" w:cs="Courier New"/>
        </w:rPr>
      </w:pPr>
      <w:r w:rsidRPr="00DE2076">
        <w:rPr>
          <w:rFonts w:ascii="Book Antiqua" w:hAnsi="Book Antiqua" w:cs="Courier New"/>
        </w:rPr>
        <w:t>No se entiende muy bien por</w:t>
      </w:r>
      <w:r w:rsidR="006F1A71" w:rsidRPr="00DE2076">
        <w:rPr>
          <w:rFonts w:ascii="Book Antiqua" w:hAnsi="Book Antiqua" w:cs="Courier New"/>
        </w:rPr>
        <w:t xml:space="preserve"> qué</w:t>
      </w:r>
      <w:r w:rsidRPr="00DE2076">
        <w:rPr>
          <w:rFonts w:ascii="Book Antiqua" w:hAnsi="Book Antiqua" w:cs="Courier New"/>
        </w:rPr>
        <w:t xml:space="preserve"> no se pueden determinar de antemano cuáles serán los ministerios del Gobierno que integrarán dicho Comité. </w:t>
      </w:r>
    </w:p>
    <w:p w14:paraId="168A49A9" w14:textId="77777777" w:rsidR="007D1EB2" w:rsidRPr="00DE2076" w:rsidRDefault="007D1EB2" w:rsidP="00DE2076">
      <w:pPr>
        <w:spacing w:line="360" w:lineRule="auto"/>
        <w:jc w:val="both"/>
        <w:rPr>
          <w:rFonts w:ascii="Book Antiqua" w:hAnsi="Book Antiqua"/>
          <w:lang w:val="es-ES"/>
        </w:rPr>
      </w:pPr>
    </w:p>
    <w:p w14:paraId="19D9AED1" w14:textId="39868B2F" w:rsidR="00090AD2" w:rsidRPr="00603DC6" w:rsidRDefault="006F1A71" w:rsidP="00603DC6">
      <w:pPr>
        <w:spacing w:line="360" w:lineRule="auto"/>
        <w:jc w:val="both"/>
        <w:rPr>
          <w:rFonts w:ascii="Book Antiqua" w:hAnsi="Book Antiqua"/>
          <w:b/>
          <w:color w:val="000000" w:themeColor="text1"/>
          <w:lang w:val="es-ES"/>
        </w:rPr>
      </w:pPr>
      <w:r w:rsidRPr="00603DC6">
        <w:rPr>
          <w:rFonts w:ascii="Book Antiqua" w:hAnsi="Book Antiqua"/>
          <w:b/>
          <w:color w:val="000000" w:themeColor="text1"/>
          <w:lang w:val="es-ES"/>
        </w:rPr>
        <w:t xml:space="preserve">3.- Estructura interna del Ministerio: </w:t>
      </w:r>
    </w:p>
    <w:p w14:paraId="455DBC30" w14:textId="14B74EEC" w:rsidR="00690D09" w:rsidRDefault="00690D09" w:rsidP="00680BF0">
      <w:pPr>
        <w:spacing w:line="360" w:lineRule="auto"/>
        <w:jc w:val="both"/>
        <w:rPr>
          <w:rFonts w:ascii="Book Antiqua" w:hAnsi="Book Antiqua"/>
          <w:color w:val="000000" w:themeColor="text1"/>
          <w:lang w:val="es-ES"/>
        </w:rPr>
      </w:pPr>
      <w:r w:rsidRPr="00680BF0">
        <w:rPr>
          <w:rFonts w:ascii="Book Antiqua" w:hAnsi="Book Antiqua"/>
          <w:color w:val="000000" w:themeColor="text1"/>
          <w:lang w:val="es-ES"/>
        </w:rPr>
        <w:t>El p</w:t>
      </w:r>
      <w:r w:rsidR="00C562EA" w:rsidRPr="00680BF0">
        <w:rPr>
          <w:rFonts w:ascii="Book Antiqua" w:hAnsi="Book Antiqua"/>
          <w:color w:val="000000" w:themeColor="text1"/>
          <w:lang w:val="es-ES"/>
        </w:rPr>
        <w:t>royecto sólo contiene como</w:t>
      </w:r>
      <w:r w:rsidRPr="00680BF0">
        <w:rPr>
          <w:rFonts w:ascii="Book Antiqua" w:hAnsi="Book Antiqua"/>
          <w:color w:val="000000" w:themeColor="text1"/>
          <w:lang w:val="es-ES"/>
        </w:rPr>
        <w:t xml:space="preserve"> determinación</w:t>
      </w:r>
      <w:r w:rsidR="00C562EA" w:rsidRPr="00680BF0">
        <w:rPr>
          <w:rFonts w:ascii="Book Antiqua" w:hAnsi="Book Antiqua"/>
          <w:color w:val="000000" w:themeColor="text1"/>
          <w:lang w:val="es-ES"/>
        </w:rPr>
        <w:t xml:space="preserve"> </w:t>
      </w:r>
      <w:r w:rsidRPr="00680BF0">
        <w:rPr>
          <w:rFonts w:ascii="Book Antiqua" w:hAnsi="Book Antiqua"/>
          <w:color w:val="000000" w:themeColor="text1"/>
          <w:lang w:val="es-ES"/>
        </w:rPr>
        <w:t>de la estructura interna del futuro Ministerio de Pueblos Indígenas</w:t>
      </w:r>
      <w:r w:rsidR="00C562EA" w:rsidRPr="00680BF0">
        <w:rPr>
          <w:rFonts w:ascii="Book Antiqua" w:hAnsi="Book Antiqua"/>
          <w:color w:val="000000" w:themeColor="text1"/>
          <w:lang w:val="es-ES"/>
        </w:rPr>
        <w:t xml:space="preserve">, el que exista una unidad </w:t>
      </w:r>
      <w:r w:rsidR="00C562EA" w:rsidRPr="00680BF0">
        <w:rPr>
          <w:rFonts w:ascii="Book Antiqua" w:hAnsi="Book Antiqua" w:cs="Courier New"/>
          <w:color w:val="000000" w:themeColor="text1"/>
        </w:rPr>
        <w:t>con competencia en consulta y participación indígena</w:t>
      </w:r>
      <w:r w:rsidRPr="00680BF0">
        <w:rPr>
          <w:rFonts w:ascii="Book Antiqua" w:hAnsi="Book Antiqua"/>
          <w:color w:val="000000" w:themeColor="text1"/>
          <w:lang w:val="es-ES"/>
        </w:rPr>
        <w:t xml:space="preserve">. </w:t>
      </w:r>
      <w:r w:rsidR="00DE2076" w:rsidRPr="00680BF0">
        <w:rPr>
          <w:rFonts w:ascii="Book Antiqua" w:hAnsi="Book Antiqua"/>
          <w:color w:val="000000" w:themeColor="text1"/>
          <w:lang w:val="es-ES"/>
        </w:rPr>
        <w:t xml:space="preserve"> </w:t>
      </w:r>
      <w:r w:rsidR="00C562EA" w:rsidRPr="00680BF0">
        <w:rPr>
          <w:rFonts w:ascii="Book Antiqua" w:hAnsi="Book Antiqua"/>
          <w:color w:val="000000" w:themeColor="text1"/>
          <w:lang w:val="es-ES"/>
        </w:rPr>
        <w:t xml:space="preserve">No establece ninguna otra determinación. </w:t>
      </w:r>
    </w:p>
    <w:p w14:paraId="445530F8" w14:textId="6EECA609" w:rsidR="00741050" w:rsidRPr="00680BF0" w:rsidRDefault="00E91ED8" w:rsidP="00680BF0">
      <w:pPr>
        <w:pStyle w:val="HTMLconformatoprevio"/>
        <w:spacing w:line="360" w:lineRule="auto"/>
        <w:jc w:val="both"/>
        <w:rPr>
          <w:rFonts w:ascii="Book Antiqua" w:hAnsi="Book Antiqua"/>
          <w:color w:val="000000" w:themeColor="text1"/>
          <w:sz w:val="24"/>
          <w:szCs w:val="24"/>
        </w:rPr>
      </w:pPr>
      <w:r w:rsidRPr="00680BF0">
        <w:rPr>
          <w:rFonts w:ascii="Book Antiqua" w:hAnsi="Book Antiqua"/>
          <w:color w:val="000000" w:themeColor="text1"/>
          <w:sz w:val="24"/>
          <w:szCs w:val="24"/>
          <w:lang w:val="es-ES"/>
        </w:rPr>
        <w:t xml:space="preserve">La Ley </w:t>
      </w:r>
      <w:r w:rsidR="00680BF0" w:rsidRPr="00680BF0">
        <w:rPr>
          <w:rFonts w:ascii="Book Antiqua" w:hAnsi="Book Antiqua"/>
          <w:color w:val="000000" w:themeColor="text1"/>
          <w:sz w:val="24"/>
          <w:szCs w:val="24"/>
          <w:lang w:val="es-ES"/>
        </w:rPr>
        <w:t xml:space="preserve">Nro </w:t>
      </w:r>
      <w:r w:rsidR="003B5FF2">
        <w:rPr>
          <w:rFonts w:ascii="Book Antiqua" w:hAnsi="Book Antiqua"/>
          <w:color w:val="000000" w:themeColor="text1"/>
          <w:sz w:val="24"/>
          <w:szCs w:val="24"/>
          <w:lang w:val="es-ES"/>
        </w:rPr>
        <w:t>20.417, de 2013, que cr</w:t>
      </w:r>
      <w:r w:rsidRPr="00680BF0">
        <w:rPr>
          <w:rFonts w:ascii="Book Antiqua" w:hAnsi="Book Antiqua"/>
          <w:color w:val="000000" w:themeColor="text1"/>
          <w:sz w:val="24"/>
          <w:szCs w:val="24"/>
          <w:lang w:val="es-ES"/>
        </w:rPr>
        <w:t>ea el Mi</w:t>
      </w:r>
      <w:r w:rsidR="00603DC6" w:rsidRPr="00680BF0">
        <w:rPr>
          <w:rFonts w:ascii="Book Antiqua" w:hAnsi="Book Antiqua"/>
          <w:color w:val="000000" w:themeColor="text1"/>
          <w:sz w:val="24"/>
          <w:szCs w:val="24"/>
          <w:lang w:val="es-ES"/>
        </w:rPr>
        <w:t>nisterio del Medio Ambiente, en el inciso 2 de su artículo 74 señala que: “</w:t>
      </w:r>
      <w:r w:rsidR="00603DC6" w:rsidRPr="00680BF0">
        <w:rPr>
          <w:rFonts w:ascii="Book Antiqua" w:hAnsi="Book Antiqua"/>
          <w:color w:val="000000" w:themeColor="text1"/>
          <w:sz w:val="24"/>
          <w:szCs w:val="24"/>
        </w:rPr>
        <w:t>Un reglamento determinará la distribución temática en las divisiones del Ministerio, de conformidad a lo señalado en la ley Nº 18.575, Orgánica Constitucional de Bases Generales de la Administración del Estado, cuyo texto refundido, coordinado y sistematizado ha sido fijado mediante el decreto con fuerza de ley Nº</w:t>
      </w:r>
      <w:r w:rsidR="00680BF0" w:rsidRPr="00680BF0">
        <w:rPr>
          <w:rFonts w:ascii="Book Antiqua" w:hAnsi="Book Antiqua"/>
          <w:color w:val="000000" w:themeColor="text1"/>
          <w:sz w:val="24"/>
          <w:szCs w:val="24"/>
        </w:rPr>
        <w:t xml:space="preserve"> </w:t>
      </w:r>
      <w:r w:rsidR="00603DC6" w:rsidRPr="00680BF0">
        <w:rPr>
          <w:rFonts w:ascii="Book Antiqua" w:hAnsi="Book Antiqua"/>
          <w:color w:val="000000" w:themeColor="text1"/>
          <w:sz w:val="24"/>
          <w:szCs w:val="24"/>
        </w:rPr>
        <w:t xml:space="preserve">1, de 2001, del Ministerio Secretaría General de la Presidencia, las que deberán contemplar a lo menos las siguientes materias: </w:t>
      </w:r>
      <w:r w:rsidR="00603DC6" w:rsidRPr="00680BF0">
        <w:rPr>
          <w:rFonts w:ascii="Book Antiqua" w:hAnsi="Book Antiqua"/>
          <w:b/>
          <w:color w:val="000000" w:themeColor="text1"/>
          <w:sz w:val="24"/>
          <w:szCs w:val="24"/>
        </w:rPr>
        <w:t>Regulación Ambiental; Información y Economía Ambiental; Educación, Participación y Gestión Local; Recursos Naturales y Biodiversidad; Cambio Climático y Cumplimiento de Convenios Internacionales, y Planificación y Gestión</w:t>
      </w:r>
      <w:r w:rsidR="00603DC6" w:rsidRPr="00680BF0">
        <w:rPr>
          <w:rFonts w:ascii="Book Antiqua" w:hAnsi="Book Antiqua"/>
          <w:color w:val="000000" w:themeColor="text1"/>
          <w:sz w:val="24"/>
          <w:szCs w:val="24"/>
        </w:rPr>
        <w:t>.”</w:t>
      </w:r>
    </w:p>
    <w:p w14:paraId="593D0360" w14:textId="3AB4E8A7" w:rsidR="00C562EA" w:rsidRDefault="00603DC6" w:rsidP="00680BF0">
      <w:pPr>
        <w:pStyle w:val="HTMLconformatoprevio"/>
        <w:spacing w:line="360" w:lineRule="auto"/>
        <w:jc w:val="both"/>
        <w:rPr>
          <w:rFonts w:ascii="Book Antiqua" w:hAnsi="Book Antiqua"/>
          <w:color w:val="000000" w:themeColor="text1"/>
          <w:sz w:val="24"/>
          <w:szCs w:val="24"/>
        </w:rPr>
      </w:pPr>
      <w:r w:rsidRPr="00680BF0">
        <w:rPr>
          <w:rFonts w:ascii="Book Antiqua" w:hAnsi="Book Antiqua"/>
          <w:color w:val="000000" w:themeColor="text1"/>
          <w:sz w:val="24"/>
          <w:szCs w:val="24"/>
        </w:rPr>
        <w:t xml:space="preserve">La Ley </w:t>
      </w:r>
      <w:r w:rsidR="00680BF0" w:rsidRPr="00680BF0">
        <w:rPr>
          <w:rFonts w:ascii="Book Antiqua" w:hAnsi="Book Antiqua"/>
          <w:color w:val="000000" w:themeColor="text1"/>
          <w:sz w:val="24"/>
          <w:szCs w:val="24"/>
        </w:rPr>
        <w:t xml:space="preserve">Nro 20.820, de 2015, en el inciso 2 de su artículo 5, establece: “Un reglamento expedido por el Ministerio determinará la estructura interna, de conformidad a lo dispuesto en la Ley Nº18.575, Orgánica Constitucional de Bases Generales de la Administración del Estado. Para efectos de establecer la estructura interna deberán considerarse, a lo menos, las siguientes divisiones: </w:t>
      </w:r>
      <w:r w:rsidR="00680BF0" w:rsidRPr="00680BF0">
        <w:rPr>
          <w:rFonts w:ascii="Book Antiqua" w:hAnsi="Book Antiqua"/>
          <w:b/>
          <w:color w:val="000000" w:themeColor="text1"/>
          <w:sz w:val="24"/>
          <w:szCs w:val="24"/>
        </w:rPr>
        <w:t>Estudios y Capacitación en Género; Planificación y Control de Gestión, y Políticas de Igualdad</w:t>
      </w:r>
      <w:r w:rsidR="00680BF0" w:rsidRPr="00680BF0">
        <w:rPr>
          <w:rFonts w:ascii="Book Antiqua" w:hAnsi="Book Antiqua"/>
          <w:color w:val="000000" w:themeColor="text1"/>
          <w:sz w:val="24"/>
          <w:szCs w:val="24"/>
        </w:rPr>
        <w:t>. Además, podrá establecer otras áreas que sean necesarias para dar cumplimiento a los objetivos, funciones y atribuciones del Ministerio.”</w:t>
      </w:r>
    </w:p>
    <w:p w14:paraId="494E1FE4" w14:textId="77777777" w:rsidR="00680BF0" w:rsidRPr="00680BF0" w:rsidRDefault="00680BF0" w:rsidP="00680BF0">
      <w:pPr>
        <w:pStyle w:val="HTMLconformatoprevio"/>
        <w:spacing w:line="360" w:lineRule="auto"/>
        <w:jc w:val="both"/>
        <w:rPr>
          <w:rFonts w:ascii="Book Antiqua" w:hAnsi="Book Antiqua"/>
          <w:color w:val="000000" w:themeColor="text1"/>
          <w:sz w:val="24"/>
          <w:szCs w:val="24"/>
        </w:rPr>
      </w:pPr>
    </w:p>
    <w:p w14:paraId="718D9F8F" w14:textId="03D99948" w:rsidR="00DE2076" w:rsidRPr="00E77949" w:rsidRDefault="00A866F2" w:rsidP="00DE2076">
      <w:pPr>
        <w:spacing w:line="360" w:lineRule="auto"/>
        <w:jc w:val="both"/>
        <w:rPr>
          <w:rFonts w:ascii="Book Antiqua" w:hAnsi="Book Antiqua"/>
          <w:b/>
          <w:lang w:val="es-ES"/>
        </w:rPr>
      </w:pPr>
      <w:r w:rsidRPr="00E77949">
        <w:rPr>
          <w:rFonts w:ascii="Book Antiqua" w:hAnsi="Book Antiqua"/>
          <w:b/>
          <w:lang w:val="es-ES"/>
        </w:rPr>
        <w:t xml:space="preserve">4.- </w:t>
      </w:r>
      <w:r w:rsidR="00D35461" w:rsidRPr="00E77949">
        <w:rPr>
          <w:rFonts w:ascii="Book Antiqua" w:hAnsi="Book Antiqua"/>
          <w:b/>
          <w:lang w:val="es-ES"/>
        </w:rPr>
        <w:t xml:space="preserve">Áreas de Desarrollo Indígena: </w:t>
      </w:r>
    </w:p>
    <w:p w14:paraId="4ABFAD96" w14:textId="77777777" w:rsidR="00744CBC" w:rsidRPr="00744CBC" w:rsidRDefault="00D35461" w:rsidP="00744CBC">
      <w:pPr>
        <w:pStyle w:val="HTMLconformatoprevio"/>
        <w:spacing w:line="360" w:lineRule="auto"/>
        <w:jc w:val="both"/>
        <w:rPr>
          <w:rFonts w:ascii="Book Antiqua" w:hAnsi="Book Antiqua"/>
          <w:color w:val="000000" w:themeColor="text1"/>
          <w:sz w:val="24"/>
          <w:szCs w:val="24"/>
          <w:lang w:val="es-ES"/>
        </w:rPr>
      </w:pPr>
      <w:r w:rsidRPr="00744CBC">
        <w:rPr>
          <w:rFonts w:ascii="Book Antiqua" w:hAnsi="Book Antiqua"/>
          <w:color w:val="000000" w:themeColor="text1"/>
          <w:sz w:val="24"/>
          <w:szCs w:val="24"/>
          <w:lang w:val="es-ES"/>
        </w:rPr>
        <w:t xml:space="preserve">El artículo 7 del proyecto de Ley reproduce </w:t>
      </w:r>
      <w:r w:rsidR="00E77949" w:rsidRPr="00744CBC">
        <w:rPr>
          <w:rFonts w:ascii="Book Antiqua" w:hAnsi="Book Antiqua"/>
          <w:color w:val="000000" w:themeColor="text1"/>
          <w:sz w:val="24"/>
          <w:szCs w:val="24"/>
          <w:lang w:val="es-ES"/>
        </w:rPr>
        <w:t>los</w:t>
      </w:r>
      <w:r w:rsidRPr="00744CBC">
        <w:rPr>
          <w:rFonts w:ascii="Book Antiqua" w:hAnsi="Book Antiqua"/>
          <w:color w:val="000000" w:themeColor="text1"/>
          <w:sz w:val="24"/>
          <w:szCs w:val="24"/>
          <w:lang w:val="es-ES"/>
        </w:rPr>
        <w:t xml:space="preserve"> artículo</w:t>
      </w:r>
      <w:r w:rsidR="00E77949" w:rsidRPr="00744CBC">
        <w:rPr>
          <w:rFonts w:ascii="Book Antiqua" w:hAnsi="Book Antiqua"/>
          <w:color w:val="000000" w:themeColor="text1"/>
          <w:sz w:val="24"/>
          <w:szCs w:val="24"/>
          <w:lang w:val="es-ES"/>
        </w:rPr>
        <w:t>s 26 y 27</w:t>
      </w:r>
      <w:r w:rsidRPr="00744CBC">
        <w:rPr>
          <w:rFonts w:ascii="Book Antiqua" w:hAnsi="Book Antiqua"/>
          <w:color w:val="000000" w:themeColor="text1"/>
          <w:sz w:val="24"/>
          <w:szCs w:val="24"/>
          <w:lang w:val="es-ES"/>
        </w:rPr>
        <w:t xml:space="preserve"> de</w:t>
      </w:r>
      <w:r w:rsidR="00E77949" w:rsidRPr="00744CBC">
        <w:rPr>
          <w:rFonts w:ascii="Book Antiqua" w:hAnsi="Book Antiqua"/>
          <w:color w:val="000000" w:themeColor="text1"/>
          <w:sz w:val="24"/>
          <w:szCs w:val="24"/>
          <w:lang w:val="es-ES"/>
        </w:rPr>
        <w:t xml:space="preserve"> la Ley 19.253.</w:t>
      </w:r>
    </w:p>
    <w:p w14:paraId="4C41956E" w14:textId="3DAD966F" w:rsidR="00744CBC" w:rsidRDefault="00E77949" w:rsidP="00744CBC">
      <w:pPr>
        <w:pStyle w:val="HTMLconformatoprevio"/>
        <w:spacing w:line="360" w:lineRule="auto"/>
        <w:jc w:val="both"/>
        <w:rPr>
          <w:rFonts w:ascii="Book Antiqua" w:hAnsi="Book Antiqua"/>
          <w:sz w:val="24"/>
          <w:szCs w:val="24"/>
        </w:rPr>
      </w:pPr>
      <w:r w:rsidRPr="00744CBC">
        <w:rPr>
          <w:rFonts w:ascii="Book Antiqua" w:hAnsi="Book Antiqua"/>
          <w:color w:val="000000" w:themeColor="text1"/>
          <w:sz w:val="24"/>
          <w:szCs w:val="24"/>
          <w:lang w:val="es-ES"/>
        </w:rPr>
        <w:t xml:space="preserve"> </w:t>
      </w:r>
      <w:r w:rsidR="00744CBC" w:rsidRPr="00744CBC">
        <w:rPr>
          <w:rFonts w:ascii="Book Antiqua" w:hAnsi="Book Antiqua"/>
          <w:color w:val="000000" w:themeColor="text1"/>
          <w:sz w:val="24"/>
          <w:szCs w:val="24"/>
          <w:lang w:val="es-ES"/>
        </w:rPr>
        <w:t xml:space="preserve">La ley indígena define las ADIs como </w:t>
      </w:r>
      <w:r w:rsidR="00744CBC" w:rsidRPr="00744CBC">
        <w:rPr>
          <w:rFonts w:ascii="Book Antiqua" w:hAnsi="Book Antiqua"/>
          <w:color w:val="000000" w:themeColor="text1"/>
          <w:sz w:val="24"/>
          <w:szCs w:val="24"/>
        </w:rPr>
        <w:t>áreas de desarrollo indígena que serán espacios territoriales en que los organismos de la administración del Estado focalizarán su acción en beneficio del desarrollo armónico de los indígenas y sus comunidades. El proyecto de ley las define como “</w:t>
      </w:r>
      <w:r w:rsidR="00744CBC" w:rsidRPr="00744CBC">
        <w:rPr>
          <w:rFonts w:ascii="Book Antiqua" w:hAnsi="Book Antiqua"/>
          <w:sz w:val="24"/>
          <w:szCs w:val="24"/>
        </w:rPr>
        <w:t>espacios territoriales en los que los organismos de la Administración del Estado, en consulta y con la participación de los pueblos indígenas interesados, especialmente a través de los Consejos de Pueblos Indígenas y del Consejo Nacional de Pueblos Indígenas, focalizarán su acción en beneficio del desarrollo económico, social y cultural de los indígenas y sus comunidades”.</w:t>
      </w:r>
    </w:p>
    <w:p w14:paraId="4770F511" w14:textId="21984F00" w:rsidR="00744CBC" w:rsidRDefault="00744CBC" w:rsidP="00744CBC">
      <w:pPr>
        <w:pStyle w:val="HTMLconformatoprevio"/>
        <w:spacing w:line="360" w:lineRule="auto"/>
        <w:jc w:val="both"/>
        <w:rPr>
          <w:rFonts w:ascii="Book Antiqua" w:hAnsi="Book Antiqua"/>
          <w:sz w:val="24"/>
          <w:szCs w:val="24"/>
        </w:rPr>
      </w:pPr>
      <w:r>
        <w:rPr>
          <w:rFonts w:ascii="Book Antiqua" w:hAnsi="Book Antiqua"/>
          <w:sz w:val="24"/>
          <w:szCs w:val="24"/>
        </w:rPr>
        <w:t xml:space="preserve">El proyecto no innova en el carácter de las ADIs, dejando insatisfecha la demanda por la instauración, a partir de mecanismos como las áreas de desarrollo indígenas, de espacios territoriales </w:t>
      </w:r>
      <w:r w:rsidR="00BC52BF">
        <w:rPr>
          <w:rFonts w:ascii="Book Antiqua" w:hAnsi="Book Antiqua"/>
          <w:sz w:val="24"/>
          <w:szCs w:val="24"/>
        </w:rPr>
        <w:t>donde las comunidades y organizaciones indígenas puedan resolver sus propios asuntos</w:t>
      </w:r>
      <w:r w:rsidR="00DA4D8E">
        <w:rPr>
          <w:rFonts w:ascii="Book Antiqua" w:hAnsi="Book Antiqua"/>
          <w:sz w:val="24"/>
          <w:szCs w:val="24"/>
        </w:rPr>
        <w:t xml:space="preserve"> a partir del traspaso de competencias públicas y su ejercicio autonómico. </w:t>
      </w:r>
    </w:p>
    <w:p w14:paraId="70BAE214" w14:textId="699663AB" w:rsidR="00060459" w:rsidRPr="00744CBC" w:rsidRDefault="00060459" w:rsidP="00744CBC">
      <w:pPr>
        <w:pStyle w:val="HTMLconformatoprevio"/>
        <w:spacing w:line="360" w:lineRule="auto"/>
        <w:jc w:val="both"/>
        <w:rPr>
          <w:rFonts w:ascii="Book Antiqua" w:hAnsi="Book Antiqua"/>
          <w:color w:val="000000" w:themeColor="text1"/>
          <w:sz w:val="24"/>
          <w:szCs w:val="24"/>
        </w:rPr>
      </w:pPr>
      <w:r>
        <w:rPr>
          <w:rFonts w:ascii="Book Antiqua" w:hAnsi="Book Antiqua"/>
          <w:sz w:val="24"/>
          <w:szCs w:val="24"/>
        </w:rPr>
        <w:t xml:space="preserve">No se establecen formas de evaluación del funcionamiento de las áreas de desarrollo. No se asegura el rol de las autoridades tradicionales en ellas. Tampoco se indica la importancia que tendrían las reglas de derecho consuetudinario de las comunidades del territorio dentro de la gestión de las áreas de desarrollo. </w:t>
      </w:r>
    </w:p>
    <w:p w14:paraId="4DDA0C43" w14:textId="480F25D7" w:rsidR="00D35461" w:rsidRPr="00744CBC" w:rsidRDefault="00D35461" w:rsidP="00DE2076">
      <w:pPr>
        <w:spacing w:line="360" w:lineRule="auto"/>
        <w:jc w:val="both"/>
        <w:rPr>
          <w:rFonts w:ascii="Book Antiqua" w:hAnsi="Book Antiqua"/>
        </w:rPr>
      </w:pPr>
    </w:p>
    <w:p w14:paraId="5B47FA63" w14:textId="77777777" w:rsidR="00E77949" w:rsidRDefault="00E77949" w:rsidP="00DE2076">
      <w:pPr>
        <w:spacing w:line="360" w:lineRule="auto"/>
        <w:jc w:val="both"/>
        <w:rPr>
          <w:rFonts w:ascii="Book Antiqua" w:hAnsi="Book Antiqua"/>
          <w:lang w:val="es-ES"/>
        </w:rPr>
      </w:pPr>
    </w:p>
    <w:p w14:paraId="41154D84" w14:textId="77777777" w:rsidR="00D35461" w:rsidRPr="00DE2076" w:rsidRDefault="00D35461" w:rsidP="00DE2076">
      <w:pPr>
        <w:spacing w:line="360" w:lineRule="auto"/>
        <w:jc w:val="both"/>
        <w:rPr>
          <w:rFonts w:ascii="Book Antiqua" w:hAnsi="Book Antiqua"/>
          <w:lang w:val="es-ES"/>
        </w:rPr>
      </w:pPr>
    </w:p>
    <w:sectPr w:rsidR="00D35461" w:rsidRPr="00DE2076" w:rsidSect="0011026F">
      <w:foot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8AE87" w14:textId="77777777" w:rsidR="00563C30" w:rsidRDefault="00563C30" w:rsidP="00E6795F">
      <w:r>
        <w:separator/>
      </w:r>
    </w:p>
  </w:endnote>
  <w:endnote w:type="continuationSeparator" w:id="0">
    <w:p w14:paraId="21A17CF8" w14:textId="77777777" w:rsidR="00563C30" w:rsidRDefault="00563C30" w:rsidP="00E67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396"/>
      <w:gridCol w:w="442"/>
    </w:tblGrid>
    <w:tr w:rsidR="00E6795F" w14:paraId="20E96354" w14:textId="77777777">
      <w:trPr>
        <w:jc w:val="right"/>
      </w:trPr>
      <w:tc>
        <w:tcPr>
          <w:tcW w:w="4795" w:type="dxa"/>
          <w:vAlign w:val="center"/>
        </w:tcPr>
        <w:sdt>
          <w:sdtPr>
            <w:rPr>
              <w:caps/>
              <w:color w:val="000000" w:themeColor="text1"/>
            </w:rPr>
            <w:alias w:val="Autor"/>
            <w:tag w:val=""/>
            <w:id w:val="1534539408"/>
            <w:placeholder>
              <w:docPart w:val="5C01630247652A40A8FC6C76B92ACD16"/>
            </w:placeholder>
            <w:dataBinding w:prefixMappings="xmlns:ns0='http://purl.org/dc/elements/1.1/' xmlns:ns1='http://schemas.openxmlformats.org/package/2006/metadata/core-properties' " w:xpath="/ns1:coreProperties[1]/ns0:creator[1]" w:storeItemID="{6C3C8BC8-F283-45AE-878A-BAB7291924A1}"/>
            <w:text/>
          </w:sdtPr>
          <w:sdtContent>
            <w:p w14:paraId="7A7133B3" w14:textId="48B9E471" w:rsidR="00E6795F" w:rsidRDefault="00E6795F">
              <w:pPr>
                <w:pStyle w:val="Encabezado"/>
                <w:jc w:val="right"/>
                <w:rPr>
                  <w:caps/>
                  <w:color w:val="000000" w:themeColor="text1"/>
                </w:rPr>
              </w:pPr>
              <w:r>
                <w:rPr>
                  <w:caps/>
                  <w:color w:val="000000" w:themeColor="text1"/>
                </w:rPr>
                <w:t>salvador millaleo</w:t>
              </w:r>
            </w:p>
          </w:sdtContent>
        </w:sdt>
      </w:tc>
      <w:tc>
        <w:tcPr>
          <w:tcW w:w="250" w:type="pct"/>
          <w:shd w:val="clear" w:color="auto" w:fill="ED7D31" w:themeFill="accent2"/>
          <w:vAlign w:val="center"/>
        </w:tcPr>
        <w:p w14:paraId="63D942ED" w14:textId="77777777" w:rsidR="00E6795F" w:rsidRDefault="00E6795F">
          <w:pPr>
            <w:pStyle w:val="Piedepgina"/>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563C30">
            <w:rPr>
              <w:noProof/>
              <w:color w:val="FFFFFF" w:themeColor="background1"/>
            </w:rPr>
            <w:t>1</w:t>
          </w:r>
          <w:r>
            <w:rPr>
              <w:color w:val="FFFFFF" w:themeColor="background1"/>
            </w:rPr>
            <w:fldChar w:fldCharType="end"/>
          </w:r>
        </w:p>
      </w:tc>
    </w:tr>
  </w:tbl>
  <w:p w14:paraId="125A5742" w14:textId="77777777" w:rsidR="00E6795F" w:rsidRDefault="00E6795F">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8F473" w14:textId="77777777" w:rsidR="00563C30" w:rsidRDefault="00563C30" w:rsidP="00E6795F">
      <w:r>
        <w:separator/>
      </w:r>
    </w:p>
  </w:footnote>
  <w:footnote w:type="continuationSeparator" w:id="0">
    <w:p w14:paraId="11F3F243" w14:textId="77777777" w:rsidR="00563C30" w:rsidRDefault="00563C30" w:rsidP="00E679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402"/>
    <w:rsid w:val="00060459"/>
    <w:rsid w:val="00090AD2"/>
    <w:rsid w:val="0009249F"/>
    <w:rsid w:val="00100D32"/>
    <w:rsid w:val="00107DA8"/>
    <w:rsid w:val="0011026F"/>
    <w:rsid w:val="001B635D"/>
    <w:rsid w:val="0020575F"/>
    <w:rsid w:val="00217482"/>
    <w:rsid w:val="003441E9"/>
    <w:rsid w:val="003B5FF2"/>
    <w:rsid w:val="004C4ACE"/>
    <w:rsid w:val="0050595B"/>
    <w:rsid w:val="00562686"/>
    <w:rsid w:val="00563C30"/>
    <w:rsid w:val="005C5DBD"/>
    <w:rsid w:val="00603DC6"/>
    <w:rsid w:val="00651597"/>
    <w:rsid w:val="00680BF0"/>
    <w:rsid w:val="00690D09"/>
    <w:rsid w:val="006F1A71"/>
    <w:rsid w:val="00741050"/>
    <w:rsid w:val="00744CBC"/>
    <w:rsid w:val="007C61FA"/>
    <w:rsid w:val="007D1EB2"/>
    <w:rsid w:val="008155C4"/>
    <w:rsid w:val="00877A1F"/>
    <w:rsid w:val="00884CF5"/>
    <w:rsid w:val="0088759F"/>
    <w:rsid w:val="00893962"/>
    <w:rsid w:val="008A0BFB"/>
    <w:rsid w:val="009030DF"/>
    <w:rsid w:val="009C7385"/>
    <w:rsid w:val="009E2852"/>
    <w:rsid w:val="00A20E15"/>
    <w:rsid w:val="00A344A2"/>
    <w:rsid w:val="00A645E6"/>
    <w:rsid w:val="00A866F2"/>
    <w:rsid w:val="00B27BB8"/>
    <w:rsid w:val="00BC52BF"/>
    <w:rsid w:val="00BD5E44"/>
    <w:rsid w:val="00BF377E"/>
    <w:rsid w:val="00C5247D"/>
    <w:rsid w:val="00C562EA"/>
    <w:rsid w:val="00CD59EA"/>
    <w:rsid w:val="00D03402"/>
    <w:rsid w:val="00D35461"/>
    <w:rsid w:val="00D658A0"/>
    <w:rsid w:val="00D72077"/>
    <w:rsid w:val="00DA4A04"/>
    <w:rsid w:val="00DA4D8E"/>
    <w:rsid w:val="00DB517B"/>
    <w:rsid w:val="00DD0701"/>
    <w:rsid w:val="00DE2076"/>
    <w:rsid w:val="00E06E71"/>
    <w:rsid w:val="00E23A04"/>
    <w:rsid w:val="00E6795F"/>
    <w:rsid w:val="00E76E77"/>
    <w:rsid w:val="00E77949"/>
    <w:rsid w:val="00E91ED8"/>
    <w:rsid w:val="00EE1CBC"/>
    <w:rsid w:val="00F77B3D"/>
    <w:rsid w:val="00F86B34"/>
    <w:rsid w:val="00FA22B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419F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603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s-ES_tradnl"/>
    </w:rPr>
  </w:style>
  <w:style w:type="character" w:customStyle="1" w:styleId="HTMLconformatoprevioCar">
    <w:name w:val="HTML con formato previo Car"/>
    <w:basedOn w:val="Fuentedeprrafopredeter"/>
    <w:link w:val="HTMLconformatoprevio"/>
    <w:uiPriority w:val="99"/>
    <w:rsid w:val="00603DC6"/>
    <w:rPr>
      <w:rFonts w:ascii="Courier New" w:hAnsi="Courier New" w:cs="Courier New"/>
      <w:sz w:val="20"/>
      <w:szCs w:val="20"/>
      <w:lang w:eastAsia="es-ES_tradnl"/>
    </w:rPr>
  </w:style>
  <w:style w:type="paragraph" w:styleId="Encabezado">
    <w:name w:val="header"/>
    <w:basedOn w:val="Normal"/>
    <w:link w:val="EncabezadoCar"/>
    <w:uiPriority w:val="99"/>
    <w:unhideWhenUsed/>
    <w:rsid w:val="00E6795F"/>
    <w:pPr>
      <w:tabs>
        <w:tab w:val="center" w:pos="4419"/>
        <w:tab w:val="right" w:pos="8838"/>
      </w:tabs>
    </w:pPr>
  </w:style>
  <w:style w:type="character" w:customStyle="1" w:styleId="EncabezadoCar">
    <w:name w:val="Encabezado Car"/>
    <w:basedOn w:val="Fuentedeprrafopredeter"/>
    <w:link w:val="Encabezado"/>
    <w:uiPriority w:val="99"/>
    <w:rsid w:val="00E6795F"/>
  </w:style>
  <w:style w:type="paragraph" w:styleId="Piedepgina">
    <w:name w:val="footer"/>
    <w:basedOn w:val="Normal"/>
    <w:link w:val="PiedepginaCar"/>
    <w:uiPriority w:val="99"/>
    <w:unhideWhenUsed/>
    <w:rsid w:val="00E6795F"/>
    <w:pPr>
      <w:tabs>
        <w:tab w:val="center" w:pos="4419"/>
        <w:tab w:val="right" w:pos="8838"/>
      </w:tabs>
    </w:pPr>
  </w:style>
  <w:style w:type="character" w:customStyle="1" w:styleId="PiedepginaCar">
    <w:name w:val="Pie de página Car"/>
    <w:basedOn w:val="Fuentedeprrafopredeter"/>
    <w:link w:val="Piedepgina"/>
    <w:uiPriority w:val="99"/>
    <w:rsid w:val="00E67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40696">
      <w:bodyDiv w:val="1"/>
      <w:marLeft w:val="0"/>
      <w:marRight w:val="0"/>
      <w:marTop w:val="0"/>
      <w:marBottom w:val="0"/>
      <w:divBdr>
        <w:top w:val="none" w:sz="0" w:space="0" w:color="auto"/>
        <w:left w:val="none" w:sz="0" w:space="0" w:color="auto"/>
        <w:bottom w:val="none" w:sz="0" w:space="0" w:color="auto"/>
        <w:right w:val="none" w:sz="0" w:space="0" w:color="auto"/>
      </w:divBdr>
    </w:div>
    <w:div w:id="448092660">
      <w:bodyDiv w:val="1"/>
      <w:marLeft w:val="0"/>
      <w:marRight w:val="0"/>
      <w:marTop w:val="0"/>
      <w:marBottom w:val="0"/>
      <w:divBdr>
        <w:top w:val="none" w:sz="0" w:space="0" w:color="auto"/>
        <w:left w:val="none" w:sz="0" w:space="0" w:color="auto"/>
        <w:bottom w:val="none" w:sz="0" w:space="0" w:color="auto"/>
        <w:right w:val="none" w:sz="0" w:space="0" w:color="auto"/>
      </w:divBdr>
    </w:div>
    <w:div w:id="616106157">
      <w:bodyDiv w:val="1"/>
      <w:marLeft w:val="0"/>
      <w:marRight w:val="0"/>
      <w:marTop w:val="0"/>
      <w:marBottom w:val="0"/>
      <w:divBdr>
        <w:top w:val="none" w:sz="0" w:space="0" w:color="auto"/>
        <w:left w:val="none" w:sz="0" w:space="0" w:color="auto"/>
        <w:bottom w:val="none" w:sz="0" w:space="0" w:color="auto"/>
        <w:right w:val="none" w:sz="0" w:space="0" w:color="auto"/>
      </w:divBdr>
    </w:div>
    <w:div w:id="12041741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glossaryDocument" Target="glossary/document.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01630247652A40A8FC6C76B92ACD16"/>
        <w:category>
          <w:name w:val="General"/>
          <w:gallery w:val="placeholder"/>
        </w:category>
        <w:types>
          <w:type w:val="bbPlcHdr"/>
        </w:types>
        <w:behaviors>
          <w:behavior w:val="content"/>
        </w:behaviors>
        <w:guid w:val="{1A4B07EC-B4E6-D94D-B670-12FEB850F009}"/>
      </w:docPartPr>
      <w:docPartBody>
        <w:p w:rsidR="00000000" w:rsidRDefault="001376CB" w:rsidP="001376CB">
          <w:pPr>
            <w:pStyle w:val="5C01630247652A40A8FC6C76B92ACD16"/>
          </w:pPr>
          <w:r>
            <w:rPr>
              <w:caps/>
              <w:color w:val="FFFFFF" w:themeColor="background1"/>
            </w:rPr>
            <w:t>[Nombre del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6CB"/>
    <w:rsid w:val="001376CB"/>
    <w:rsid w:val="00430C6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_trad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C01630247652A40A8FC6C76B92ACD16">
    <w:name w:val="5C01630247652A40A8FC6C76B92ACD16"/>
    <w:rsid w:val="001376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1118</Words>
  <Characters>6151</Characters>
  <Application>Microsoft Macintosh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7255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salvador millaleo</dc:creator>
  <cp:keywords/>
  <dc:description/>
  <cp:lastModifiedBy>salvador millaleo</cp:lastModifiedBy>
  <cp:revision>18</cp:revision>
  <dcterms:created xsi:type="dcterms:W3CDTF">2017-12-11T03:21:00Z</dcterms:created>
  <dcterms:modified xsi:type="dcterms:W3CDTF">2017-12-21T14:36:00Z</dcterms:modified>
</cp:coreProperties>
</file>