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0D61" w:rsidRDefault="00B20D61" w:rsidP="00A142D5">
      <w:pPr>
        <w:jc w:val="both"/>
        <w:rPr>
          <w:rFonts w:cstheme="minorHAnsi"/>
          <w:b/>
          <w:smallCaps/>
          <w:sz w:val="32"/>
          <w:szCs w:val="24"/>
          <w:lang w:val="es-ES"/>
        </w:rPr>
      </w:pPr>
      <w:r w:rsidRPr="00A142D5">
        <w:rPr>
          <w:rFonts w:cstheme="minorHAnsi"/>
          <w:b/>
          <w:smallCaps/>
          <w:sz w:val="32"/>
          <w:szCs w:val="24"/>
        </w:rPr>
        <w:t xml:space="preserve">Minuta sobre proyecto de ley </w:t>
      </w:r>
      <w:r w:rsidRPr="00A142D5">
        <w:rPr>
          <w:rFonts w:cstheme="minorHAnsi"/>
          <w:b/>
          <w:smallCaps/>
          <w:sz w:val="32"/>
          <w:szCs w:val="24"/>
          <w:lang w:val="es-ES"/>
        </w:rPr>
        <w:t xml:space="preserve">que </w:t>
      </w:r>
      <w:r w:rsidRPr="00A142D5">
        <w:rPr>
          <w:rFonts w:cstheme="minorHAnsi"/>
          <w:b/>
          <w:smallCaps/>
          <w:sz w:val="32"/>
          <w:szCs w:val="24"/>
          <w:lang w:val="es-ES_tradnl"/>
        </w:rPr>
        <w:t>crea una sociedad anónima del Estado denominada “Fondo de Infraestructura S.A.”</w:t>
      </w:r>
      <w:r w:rsidRPr="00A142D5">
        <w:rPr>
          <w:rFonts w:cstheme="minorHAnsi"/>
          <w:b/>
          <w:smallCaps/>
          <w:sz w:val="32"/>
          <w:szCs w:val="24"/>
          <w:lang w:val="es-ES"/>
        </w:rPr>
        <w:t>. Boletín 10.647-09</w:t>
      </w:r>
    </w:p>
    <w:p w:rsidR="00A142D5" w:rsidRPr="00A142D5" w:rsidRDefault="00A142D5" w:rsidP="00A142D5">
      <w:pPr>
        <w:jc w:val="both"/>
        <w:rPr>
          <w:rFonts w:cstheme="minorHAnsi"/>
          <w:b/>
          <w:smallCaps/>
          <w:sz w:val="32"/>
          <w:szCs w:val="24"/>
          <w:lang w:val="es-ES"/>
        </w:rPr>
      </w:pPr>
    </w:p>
    <w:p w:rsidR="009E30BF" w:rsidRDefault="009E30BF" w:rsidP="00B20D61">
      <w:pPr>
        <w:rPr>
          <w:rFonts w:cstheme="minorHAnsi"/>
          <w:sz w:val="24"/>
          <w:szCs w:val="24"/>
          <w:lang w:val="es-ES"/>
        </w:rPr>
      </w:pPr>
      <w:r w:rsidRPr="00A142D5">
        <w:rPr>
          <w:rFonts w:cstheme="minorHAnsi"/>
          <w:sz w:val="24"/>
          <w:szCs w:val="24"/>
          <w:lang w:val="es-ES"/>
        </w:rPr>
        <w:t>El proyecto de ley ingresó al Senado el 4 de mayo de 2016 en mensaje de la Presidenta de la República. Fue aprobado en general por la unanimidad de la Comisión de Obras Públicas y la Sala del Senado el 3 de enero de 2017. Tras su aprobación en general, la Comisión de Obras Públicas se abocó a su estudio en particular y, una vez aprobado, pasó a la Comisión de Hacienda para el estudio de las materias propias de su competencia.</w:t>
      </w:r>
    </w:p>
    <w:p w:rsidR="00A142D5" w:rsidRPr="00A142D5" w:rsidRDefault="00A142D5" w:rsidP="00B20D61">
      <w:pPr>
        <w:rPr>
          <w:rFonts w:cstheme="minorHAnsi"/>
          <w:sz w:val="24"/>
          <w:szCs w:val="24"/>
          <w:lang w:val="es-ES"/>
        </w:rPr>
      </w:pPr>
    </w:p>
    <w:p w:rsidR="00B20D61" w:rsidRPr="00A142D5" w:rsidRDefault="00B20D61" w:rsidP="00B20D61">
      <w:pPr>
        <w:rPr>
          <w:rFonts w:cstheme="minorHAnsi"/>
          <w:b/>
          <w:smallCaps/>
          <w:sz w:val="28"/>
          <w:szCs w:val="24"/>
          <w:lang w:val="es-ES"/>
        </w:rPr>
      </w:pPr>
      <w:r w:rsidRPr="00A142D5">
        <w:rPr>
          <w:rFonts w:cstheme="minorHAnsi"/>
          <w:b/>
          <w:smallCaps/>
          <w:sz w:val="28"/>
          <w:szCs w:val="24"/>
          <w:lang w:val="es-ES"/>
        </w:rPr>
        <w:t>Objetivo del Proyecto de Ley</w:t>
      </w:r>
    </w:p>
    <w:p w:rsidR="00B20D61" w:rsidRPr="00A142D5" w:rsidRDefault="00B20D61" w:rsidP="00B20D61">
      <w:pPr>
        <w:tabs>
          <w:tab w:val="left" w:pos="2835"/>
        </w:tabs>
        <w:jc w:val="both"/>
        <w:rPr>
          <w:rFonts w:cstheme="minorHAnsi"/>
          <w:sz w:val="24"/>
          <w:szCs w:val="24"/>
        </w:rPr>
      </w:pPr>
      <w:r w:rsidRPr="00A142D5">
        <w:rPr>
          <w:rFonts w:cstheme="minorHAnsi"/>
          <w:sz w:val="24"/>
          <w:szCs w:val="24"/>
          <w:lang w:val="es-ES_tradnl"/>
        </w:rPr>
        <w:t>Crear</w:t>
      </w:r>
      <w:r w:rsidRPr="00A142D5">
        <w:rPr>
          <w:rFonts w:cstheme="minorHAnsi"/>
          <w:sz w:val="24"/>
          <w:szCs w:val="24"/>
          <w:lang w:val="es-ES_tradnl"/>
        </w:rPr>
        <w:t xml:space="preserve"> una sociedad anónima del Estado denominada</w:t>
      </w:r>
      <w:r w:rsidRPr="00A142D5">
        <w:rPr>
          <w:rFonts w:cstheme="minorHAnsi"/>
          <w:sz w:val="24"/>
          <w:szCs w:val="24"/>
          <w:lang w:val="es-ES_tradnl"/>
        </w:rPr>
        <w:t xml:space="preserve"> </w:t>
      </w:r>
      <w:r w:rsidRPr="00A142D5">
        <w:rPr>
          <w:rFonts w:cstheme="minorHAnsi"/>
          <w:b/>
          <w:sz w:val="24"/>
          <w:szCs w:val="24"/>
          <w:lang w:val="es-ES_tradnl"/>
        </w:rPr>
        <w:t>Fondo de Infraestructura S.A</w:t>
      </w:r>
      <w:r w:rsidRPr="00A142D5">
        <w:rPr>
          <w:rFonts w:cstheme="minorHAnsi"/>
          <w:sz w:val="24"/>
          <w:szCs w:val="24"/>
          <w:lang w:val="es-ES_tradnl"/>
        </w:rPr>
        <w:t>.</w:t>
      </w:r>
      <w:r w:rsidRPr="00A142D5">
        <w:rPr>
          <w:rFonts w:cstheme="minorHAnsi"/>
          <w:sz w:val="24"/>
          <w:szCs w:val="24"/>
          <w:lang w:val="es-ES_tradnl"/>
        </w:rPr>
        <w:t>, que tendrá por objeto financiar e invertir en pr</w:t>
      </w:r>
      <w:r w:rsidRPr="00A142D5">
        <w:rPr>
          <w:rFonts w:cstheme="minorHAnsi"/>
          <w:sz w:val="24"/>
          <w:szCs w:val="24"/>
          <w:lang w:val="es-ES_tradnl"/>
        </w:rPr>
        <w:t>oyectos de infraestructura y</w:t>
      </w:r>
      <w:r w:rsidRPr="00A142D5">
        <w:rPr>
          <w:rFonts w:cstheme="minorHAnsi"/>
          <w:sz w:val="24"/>
          <w:szCs w:val="24"/>
          <w:lang w:val="es-ES_tradnl"/>
        </w:rPr>
        <w:t xml:space="preserve"> servicios anexos, y delegar en terceros la construcción, ampliación, reparación, conservación, explotación y desarrollo de las obras respectivas</w:t>
      </w:r>
      <w:r w:rsidRPr="00A142D5">
        <w:rPr>
          <w:rFonts w:cstheme="minorHAnsi"/>
          <w:sz w:val="24"/>
          <w:szCs w:val="24"/>
        </w:rPr>
        <w:t>.</w:t>
      </w:r>
      <w:r w:rsidRPr="00A142D5">
        <w:rPr>
          <w:rFonts w:cstheme="minorHAnsi"/>
          <w:sz w:val="24"/>
          <w:szCs w:val="24"/>
        </w:rPr>
        <w:t xml:space="preserve"> </w:t>
      </w:r>
    </w:p>
    <w:p w:rsidR="00B20D61" w:rsidRDefault="00B20D61" w:rsidP="00B20D61">
      <w:pPr>
        <w:tabs>
          <w:tab w:val="left" w:pos="2835"/>
        </w:tabs>
        <w:jc w:val="both"/>
        <w:rPr>
          <w:rFonts w:cstheme="minorHAnsi"/>
          <w:sz w:val="24"/>
          <w:szCs w:val="24"/>
          <w:lang w:val="es-ES_tradnl"/>
        </w:rPr>
      </w:pPr>
      <w:r w:rsidRPr="00A142D5">
        <w:rPr>
          <w:rFonts w:cstheme="minorHAnsi"/>
          <w:sz w:val="24"/>
          <w:szCs w:val="24"/>
        </w:rPr>
        <w:t xml:space="preserve">Todo ello con el objetivo de permitir </w:t>
      </w:r>
      <w:r w:rsidRPr="00A142D5">
        <w:rPr>
          <w:rFonts w:cstheme="minorHAnsi"/>
          <w:sz w:val="24"/>
          <w:szCs w:val="24"/>
          <w:lang w:val="es-ES_tradnl"/>
        </w:rPr>
        <w:t xml:space="preserve">al Estado utilizar de manera adecuada sus activos, incorporar a su haber los flujos financieros que aquellos generen y potenciar la inversión en infraestructura  por medio de concesiones. </w:t>
      </w:r>
    </w:p>
    <w:p w:rsidR="00A142D5" w:rsidRPr="00A142D5" w:rsidRDefault="00A142D5" w:rsidP="00B20D61">
      <w:pPr>
        <w:tabs>
          <w:tab w:val="left" w:pos="2835"/>
        </w:tabs>
        <w:jc w:val="both"/>
        <w:rPr>
          <w:rFonts w:cstheme="minorHAnsi"/>
          <w:sz w:val="24"/>
          <w:szCs w:val="24"/>
          <w:lang w:val="es-ES_tradnl"/>
        </w:rPr>
      </w:pPr>
    </w:p>
    <w:p w:rsidR="00B20D61" w:rsidRPr="00A142D5" w:rsidRDefault="00B20D61" w:rsidP="00B20D61">
      <w:pPr>
        <w:tabs>
          <w:tab w:val="left" w:pos="2835"/>
        </w:tabs>
        <w:jc w:val="both"/>
        <w:rPr>
          <w:rFonts w:cstheme="minorHAnsi"/>
          <w:b/>
          <w:smallCaps/>
          <w:sz w:val="28"/>
          <w:szCs w:val="24"/>
          <w:lang w:val="es-ES_tradnl"/>
        </w:rPr>
      </w:pPr>
      <w:r w:rsidRPr="00A142D5">
        <w:rPr>
          <w:rFonts w:cstheme="minorHAnsi"/>
          <w:b/>
          <w:smallCaps/>
          <w:sz w:val="28"/>
          <w:szCs w:val="24"/>
          <w:lang w:val="es-ES_tradnl"/>
        </w:rPr>
        <w:t>Fundamentos del Proyecto de Ley:</w:t>
      </w:r>
    </w:p>
    <w:p w:rsidR="00B20D61" w:rsidRPr="00A142D5" w:rsidRDefault="00B20D61" w:rsidP="00B20D61">
      <w:pPr>
        <w:tabs>
          <w:tab w:val="left" w:pos="2835"/>
        </w:tabs>
        <w:jc w:val="both"/>
        <w:rPr>
          <w:rFonts w:cstheme="minorHAnsi"/>
          <w:sz w:val="24"/>
          <w:szCs w:val="24"/>
          <w:lang w:val="es-ES_tradnl"/>
        </w:rPr>
      </w:pPr>
      <w:r w:rsidRPr="00A142D5">
        <w:rPr>
          <w:rFonts w:cstheme="minorHAnsi"/>
          <w:sz w:val="24"/>
          <w:szCs w:val="24"/>
          <w:lang w:val="es-ES_tradnl"/>
        </w:rPr>
        <w:t>Durante su exposición ante la Comisión de Hacienda del Senado, el ministro de Obras Públicas, explicó que tras dos décadas de un exitoso funcionamiento del sistema de concesiones en nuestro país, h</w:t>
      </w:r>
      <w:r w:rsidR="0002532D" w:rsidRPr="00A142D5">
        <w:rPr>
          <w:rFonts w:cstheme="minorHAnsi"/>
          <w:sz w:val="24"/>
          <w:szCs w:val="24"/>
          <w:lang w:val="es-ES_tradnl"/>
        </w:rPr>
        <w:t>oy se requiere un nuevo impulso.</w:t>
      </w:r>
    </w:p>
    <w:p w:rsidR="0002532D" w:rsidRPr="00A142D5" w:rsidRDefault="0002532D" w:rsidP="00B20D61">
      <w:pPr>
        <w:tabs>
          <w:tab w:val="left" w:pos="2835"/>
        </w:tabs>
        <w:jc w:val="both"/>
        <w:rPr>
          <w:rFonts w:cstheme="minorHAnsi"/>
          <w:sz w:val="24"/>
          <w:szCs w:val="24"/>
        </w:rPr>
      </w:pPr>
      <w:r w:rsidRPr="00A142D5">
        <w:rPr>
          <w:rFonts w:cstheme="minorHAnsi"/>
          <w:sz w:val="24"/>
          <w:szCs w:val="24"/>
          <w:lang w:val="es-ES_tradnl"/>
        </w:rPr>
        <w:t xml:space="preserve">En ese sentido, el ministro sostuvo que se hace necesario crear un Fondo de Infraestructura, en línea con lo planteado por </w:t>
      </w:r>
      <w:r w:rsidRPr="00A142D5">
        <w:rPr>
          <w:rFonts w:cstheme="minorHAnsi"/>
          <w:sz w:val="24"/>
          <w:szCs w:val="24"/>
        </w:rPr>
        <w:t>la Cámara Chilena de la Construcción, el Consejo de Políticas de Infraestructura, y el Consejo Asesor de Financiamiento de Infraestructura Pública</w:t>
      </w:r>
      <w:r w:rsidRPr="00A142D5">
        <w:rPr>
          <w:rFonts w:cstheme="minorHAnsi"/>
          <w:sz w:val="24"/>
          <w:szCs w:val="24"/>
        </w:rPr>
        <w:t>.</w:t>
      </w:r>
    </w:p>
    <w:p w:rsidR="0002532D" w:rsidRPr="00A142D5" w:rsidRDefault="0002532D" w:rsidP="00B20D61">
      <w:pPr>
        <w:tabs>
          <w:tab w:val="left" w:pos="2835"/>
        </w:tabs>
        <w:jc w:val="both"/>
        <w:rPr>
          <w:rFonts w:cstheme="minorHAnsi"/>
          <w:sz w:val="24"/>
          <w:szCs w:val="24"/>
          <w:lang w:val="es-ES_tradnl"/>
        </w:rPr>
      </w:pPr>
      <w:r w:rsidRPr="00A142D5">
        <w:rPr>
          <w:rFonts w:cstheme="minorHAnsi"/>
          <w:sz w:val="24"/>
          <w:szCs w:val="24"/>
          <w:lang w:val="es-ES_tradnl"/>
        </w:rPr>
        <w:t>Para cumplir dicho objetivo, el proyecto de ley se sustenta en los siguientes principios:</w:t>
      </w:r>
    </w:p>
    <w:p w:rsidR="0002532D" w:rsidRPr="00A142D5" w:rsidRDefault="0002532D" w:rsidP="0002532D">
      <w:pPr>
        <w:pStyle w:val="Prrafodelista"/>
        <w:numPr>
          <w:ilvl w:val="0"/>
          <w:numId w:val="1"/>
        </w:numPr>
        <w:jc w:val="both"/>
        <w:rPr>
          <w:rFonts w:cstheme="minorHAnsi"/>
          <w:sz w:val="24"/>
          <w:szCs w:val="24"/>
        </w:rPr>
      </w:pPr>
      <w:r w:rsidRPr="00A142D5">
        <w:rPr>
          <w:rFonts w:cstheme="minorHAnsi"/>
          <w:sz w:val="24"/>
          <w:szCs w:val="24"/>
          <w:u w:val="single"/>
        </w:rPr>
        <w:t>R</w:t>
      </w:r>
      <w:r w:rsidRPr="00A142D5">
        <w:rPr>
          <w:rFonts w:cstheme="minorHAnsi"/>
          <w:sz w:val="24"/>
          <w:szCs w:val="24"/>
          <w:u w:val="single"/>
        </w:rPr>
        <w:t>esponsabilidad fiscal</w:t>
      </w:r>
      <w:r w:rsidRPr="00A142D5">
        <w:rPr>
          <w:rFonts w:cstheme="minorHAnsi"/>
          <w:sz w:val="24"/>
          <w:szCs w:val="24"/>
        </w:rPr>
        <w:t xml:space="preserve"> y</w:t>
      </w:r>
      <w:r w:rsidRPr="00A142D5">
        <w:rPr>
          <w:rFonts w:cstheme="minorHAnsi"/>
          <w:sz w:val="24"/>
          <w:szCs w:val="24"/>
        </w:rPr>
        <w:t xml:space="preserve"> </w:t>
      </w:r>
      <w:r w:rsidRPr="00A142D5">
        <w:rPr>
          <w:rFonts w:cstheme="minorHAnsi"/>
          <w:sz w:val="24"/>
          <w:szCs w:val="24"/>
          <w:u w:val="single"/>
        </w:rPr>
        <w:t>gobernanza del desarrollo de infraestructura</w:t>
      </w:r>
      <w:r w:rsidRPr="00A142D5">
        <w:rPr>
          <w:rFonts w:cstheme="minorHAnsi"/>
          <w:sz w:val="24"/>
          <w:szCs w:val="24"/>
        </w:rPr>
        <w:t xml:space="preserve"> por parte de la </w:t>
      </w:r>
      <w:r w:rsidRPr="00A142D5">
        <w:rPr>
          <w:rFonts w:cstheme="minorHAnsi"/>
          <w:sz w:val="24"/>
          <w:szCs w:val="24"/>
        </w:rPr>
        <w:t>nueva empresa</w:t>
      </w:r>
      <w:r w:rsidRPr="00A142D5">
        <w:rPr>
          <w:rFonts w:cstheme="minorHAnsi"/>
          <w:sz w:val="24"/>
          <w:szCs w:val="24"/>
        </w:rPr>
        <w:t>:</w:t>
      </w:r>
    </w:p>
    <w:p w:rsidR="0002532D" w:rsidRPr="00A142D5" w:rsidRDefault="0002532D" w:rsidP="0002532D">
      <w:pPr>
        <w:pStyle w:val="Prrafodelista"/>
        <w:jc w:val="both"/>
        <w:rPr>
          <w:rFonts w:cstheme="minorHAnsi"/>
          <w:sz w:val="24"/>
          <w:szCs w:val="24"/>
        </w:rPr>
      </w:pPr>
    </w:p>
    <w:p w:rsidR="0002532D" w:rsidRPr="00A142D5" w:rsidRDefault="0002532D" w:rsidP="0002532D">
      <w:pPr>
        <w:pStyle w:val="Prrafodelista"/>
        <w:numPr>
          <w:ilvl w:val="1"/>
          <w:numId w:val="1"/>
        </w:numPr>
        <w:jc w:val="both"/>
        <w:rPr>
          <w:rFonts w:cstheme="minorHAnsi"/>
          <w:sz w:val="24"/>
          <w:szCs w:val="24"/>
        </w:rPr>
      </w:pPr>
      <w:r w:rsidRPr="00A142D5">
        <w:rPr>
          <w:rFonts w:cstheme="minorHAnsi"/>
          <w:sz w:val="24"/>
          <w:szCs w:val="24"/>
        </w:rPr>
        <w:t xml:space="preserve">Como sociedad anónima, el Fondo de Infraestructura debe ser solvente. </w:t>
      </w:r>
      <w:r w:rsidRPr="00A142D5">
        <w:rPr>
          <w:rFonts w:cstheme="minorHAnsi"/>
          <w:sz w:val="24"/>
          <w:szCs w:val="24"/>
        </w:rPr>
        <w:t>Los proyectos del Fondo deben ser sostenibles financieramente y orientarse a producir utilidades</w:t>
      </w:r>
      <w:r w:rsidRPr="00A142D5">
        <w:rPr>
          <w:rFonts w:cstheme="minorHAnsi"/>
          <w:sz w:val="24"/>
          <w:szCs w:val="24"/>
        </w:rPr>
        <w:t>.</w:t>
      </w:r>
    </w:p>
    <w:p w:rsidR="0002532D" w:rsidRPr="00A142D5" w:rsidRDefault="0002532D" w:rsidP="0002532D">
      <w:pPr>
        <w:pStyle w:val="Prrafodelista"/>
        <w:ind w:left="1440"/>
        <w:jc w:val="both"/>
        <w:rPr>
          <w:rFonts w:cstheme="minorHAnsi"/>
          <w:sz w:val="24"/>
          <w:szCs w:val="24"/>
        </w:rPr>
      </w:pPr>
    </w:p>
    <w:p w:rsidR="0002532D" w:rsidRPr="00A142D5" w:rsidRDefault="0002532D" w:rsidP="0002532D">
      <w:pPr>
        <w:pStyle w:val="Prrafodelista"/>
        <w:numPr>
          <w:ilvl w:val="1"/>
          <w:numId w:val="1"/>
        </w:numPr>
        <w:jc w:val="both"/>
        <w:rPr>
          <w:rFonts w:cstheme="minorHAnsi"/>
          <w:sz w:val="24"/>
          <w:szCs w:val="24"/>
        </w:rPr>
      </w:pPr>
      <w:r w:rsidRPr="00A142D5">
        <w:rPr>
          <w:rFonts w:cstheme="minorHAnsi"/>
          <w:sz w:val="24"/>
          <w:szCs w:val="24"/>
        </w:rPr>
        <w:t>En línea y supeditado a las políticas del MOP</w:t>
      </w:r>
      <w:r w:rsidRPr="00A142D5">
        <w:rPr>
          <w:rFonts w:cstheme="minorHAnsi"/>
          <w:sz w:val="24"/>
          <w:szCs w:val="24"/>
        </w:rPr>
        <w:t xml:space="preserve"> (evitar riesgo de tener, en la práctica, dos ministerios encargados de obras públicas).</w:t>
      </w:r>
    </w:p>
    <w:p w:rsidR="0002532D" w:rsidRPr="00A142D5" w:rsidRDefault="0002532D" w:rsidP="0002532D">
      <w:pPr>
        <w:pStyle w:val="Prrafodelista"/>
        <w:ind w:left="1440"/>
        <w:jc w:val="both"/>
        <w:rPr>
          <w:rFonts w:cstheme="minorHAnsi"/>
          <w:sz w:val="24"/>
          <w:szCs w:val="24"/>
        </w:rPr>
      </w:pPr>
    </w:p>
    <w:p w:rsidR="0002532D" w:rsidRPr="00A142D5" w:rsidRDefault="0002532D" w:rsidP="0002532D">
      <w:pPr>
        <w:pStyle w:val="Prrafodelista"/>
        <w:numPr>
          <w:ilvl w:val="0"/>
          <w:numId w:val="1"/>
        </w:numPr>
        <w:jc w:val="both"/>
        <w:rPr>
          <w:rFonts w:cstheme="minorHAnsi"/>
          <w:sz w:val="24"/>
          <w:szCs w:val="24"/>
        </w:rPr>
      </w:pPr>
      <w:r w:rsidRPr="00A142D5">
        <w:rPr>
          <w:rFonts w:cstheme="minorHAnsi"/>
          <w:sz w:val="24"/>
          <w:szCs w:val="24"/>
        </w:rPr>
        <w:t>Incorpora las</w:t>
      </w:r>
      <w:r w:rsidRPr="00A142D5">
        <w:rPr>
          <w:rFonts w:cstheme="minorHAnsi"/>
          <w:sz w:val="24"/>
          <w:szCs w:val="24"/>
        </w:rPr>
        <w:t xml:space="preserve"> </w:t>
      </w:r>
      <w:r w:rsidRPr="00A142D5">
        <w:rPr>
          <w:rFonts w:cstheme="minorHAnsi"/>
          <w:sz w:val="24"/>
          <w:szCs w:val="24"/>
          <w:u w:val="single"/>
        </w:rPr>
        <w:t>recomendaciones de la OCDE para el gobierno corporativo de las empresas del Estado</w:t>
      </w:r>
      <w:r w:rsidRPr="00A142D5">
        <w:rPr>
          <w:rFonts w:cstheme="minorHAnsi"/>
          <w:sz w:val="24"/>
          <w:szCs w:val="24"/>
        </w:rPr>
        <w:t xml:space="preserve">. </w:t>
      </w:r>
    </w:p>
    <w:p w:rsidR="0002532D" w:rsidRPr="00A142D5" w:rsidRDefault="0002532D" w:rsidP="0002532D">
      <w:pPr>
        <w:pStyle w:val="Prrafodelista"/>
        <w:jc w:val="both"/>
        <w:rPr>
          <w:rFonts w:cstheme="minorHAnsi"/>
          <w:sz w:val="24"/>
          <w:szCs w:val="24"/>
        </w:rPr>
      </w:pPr>
    </w:p>
    <w:p w:rsidR="0002532D" w:rsidRPr="00A142D5" w:rsidRDefault="0002532D" w:rsidP="0002532D">
      <w:pPr>
        <w:pStyle w:val="Prrafodelista"/>
        <w:numPr>
          <w:ilvl w:val="1"/>
          <w:numId w:val="1"/>
        </w:numPr>
        <w:jc w:val="both"/>
        <w:rPr>
          <w:rFonts w:cstheme="minorHAnsi"/>
          <w:sz w:val="24"/>
          <w:szCs w:val="24"/>
        </w:rPr>
      </w:pPr>
      <w:r w:rsidRPr="00A142D5">
        <w:rPr>
          <w:rFonts w:cstheme="minorHAnsi"/>
          <w:sz w:val="24"/>
          <w:szCs w:val="24"/>
        </w:rPr>
        <w:t xml:space="preserve">Respeto del </w:t>
      </w:r>
      <w:r w:rsidRPr="00A142D5">
        <w:rPr>
          <w:rFonts w:cstheme="minorHAnsi"/>
          <w:sz w:val="24"/>
          <w:szCs w:val="24"/>
          <w:u w:val="single"/>
        </w:rPr>
        <w:t>Principio de Igualdad ante la Ley</w:t>
      </w:r>
      <w:r w:rsidRPr="00A142D5">
        <w:rPr>
          <w:rFonts w:cstheme="minorHAnsi"/>
          <w:sz w:val="24"/>
          <w:szCs w:val="24"/>
        </w:rPr>
        <w:t>.</w:t>
      </w:r>
    </w:p>
    <w:p w:rsidR="0002532D" w:rsidRPr="00A142D5" w:rsidRDefault="0002532D" w:rsidP="0002532D">
      <w:pPr>
        <w:pStyle w:val="Prrafodelista"/>
        <w:ind w:left="1440"/>
        <w:jc w:val="both"/>
        <w:rPr>
          <w:rFonts w:cstheme="minorHAnsi"/>
          <w:sz w:val="24"/>
          <w:szCs w:val="24"/>
        </w:rPr>
      </w:pPr>
    </w:p>
    <w:p w:rsidR="0002532D" w:rsidRPr="00A142D5" w:rsidRDefault="0002532D" w:rsidP="0002532D">
      <w:pPr>
        <w:pStyle w:val="Prrafodelista"/>
        <w:numPr>
          <w:ilvl w:val="1"/>
          <w:numId w:val="1"/>
        </w:numPr>
        <w:jc w:val="both"/>
        <w:rPr>
          <w:rFonts w:cstheme="minorHAnsi"/>
          <w:sz w:val="24"/>
          <w:szCs w:val="24"/>
        </w:rPr>
      </w:pPr>
      <w:r w:rsidRPr="00A142D5">
        <w:rPr>
          <w:rFonts w:cstheme="minorHAnsi"/>
          <w:sz w:val="24"/>
          <w:szCs w:val="24"/>
        </w:rPr>
        <w:t xml:space="preserve">Fondo </w:t>
      </w:r>
      <w:r w:rsidRPr="00A142D5">
        <w:rPr>
          <w:rFonts w:cstheme="minorHAnsi"/>
          <w:sz w:val="24"/>
          <w:szCs w:val="24"/>
        </w:rPr>
        <w:t xml:space="preserve">sujeto </w:t>
      </w:r>
      <w:r w:rsidRPr="00A142D5">
        <w:rPr>
          <w:rFonts w:cstheme="minorHAnsi"/>
          <w:sz w:val="24"/>
          <w:szCs w:val="24"/>
        </w:rPr>
        <w:t xml:space="preserve">a las exigencias que rigen a las sociedades anónimas. </w:t>
      </w:r>
    </w:p>
    <w:p w:rsidR="0002532D" w:rsidRPr="00A142D5" w:rsidRDefault="0002532D" w:rsidP="0002532D">
      <w:pPr>
        <w:pStyle w:val="Prrafodelista"/>
        <w:ind w:left="1440"/>
        <w:jc w:val="both"/>
        <w:rPr>
          <w:rFonts w:cstheme="minorHAnsi"/>
          <w:sz w:val="24"/>
          <w:szCs w:val="24"/>
        </w:rPr>
      </w:pPr>
    </w:p>
    <w:p w:rsidR="0002532D" w:rsidRDefault="0002532D" w:rsidP="0002532D">
      <w:pPr>
        <w:pStyle w:val="Prrafodelista"/>
        <w:numPr>
          <w:ilvl w:val="0"/>
          <w:numId w:val="1"/>
        </w:numPr>
        <w:jc w:val="both"/>
        <w:rPr>
          <w:rFonts w:cstheme="minorHAnsi"/>
          <w:sz w:val="24"/>
          <w:szCs w:val="24"/>
        </w:rPr>
      </w:pPr>
      <w:r w:rsidRPr="00A142D5">
        <w:rPr>
          <w:rFonts w:cstheme="minorHAnsi"/>
          <w:sz w:val="24"/>
          <w:szCs w:val="24"/>
        </w:rPr>
        <w:t xml:space="preserve">El </w:t>
      </w:r>
      <w:r w:rsidRPr="00A142D5">
        <w:rPr>
          <w:rFonts w:cstheme="minorHAnsi"/>
          <w:sz w:val="24"/>
          <w:szCs w:val="24"/>
          <w:u w:val="single"/>
        </w:rPr>
        <w:t>objeto del Fondo</w:t>
      </w:r>
      <w:r w:rsidRPr="00A142D5">
        <w:rPr>
          <w:rFonts w:cstheme="minorHAnsi"/>
          <w:sz w:val="24"/>
          <w:szCs w:val="24"/>
        </w:rPr>
        <w:t xml:space="preserve"> está e</w:t>
      </w:r>
      <w:r w:rsidRPr="00A142D5">
        <w:rPr>
          <w:rFonts w:cstheme="minorHAnsi"/>
          <w:sz w:val="24"/>
          <w:szCs w:val="24"/>
        </w:rPr>
        <w:t xml:space="preserve">n el plano económico-financiero. Será a través de terceros señalados por ley los encargados de llevar adelante el plano operacional de la infraestructura. </w:t>
      </w:r>
    </w:p>
    <w:p w:rsidR="00A142D5" w:rsidRPr="00A142D5" w:rsidRDefault="00A142D5" w:rsidP="00A142D5">
      <w:pPr>
        <w:pStyle w:val="Prrafodelista"/>
        <w:jc w:val="both"/>
        <w:rPr>
          <w:rFonts w:cstheme="minorHAnsi"/>
          <w:sz w:val="24"/>
          <w:szCs w:val="24"/>
        </w:rPr>
      </w:pPr>
    </w:p>
    <w:p w:rsidR="009E30BF" w:rsidRPr="00A142D5" w:rsidRDefault="009E30BF" w:rsidP="009E30BF">
      <w:pPr>
        <w:jc w:val="both"/>
        <w:rPr>
          <w:rFonts w:cstheme="minorHAnsi"/>
          <w:b/>
          <w:smallCaps/>
          <w:sz w:val="28"/>
          <w:szCs w:val="28"/>
        </w:rPr>
      </w:pPr>
      <w:r w:rsidRPr="00A142D5">
        <w:rPr>
          <w:rFonts w:cstheme="minorHAnsi"/>
          <w:b/>
          <w:smallCaps/>
          <w:sz w:val="28"/>
          <w:szCs w:val="28"/>
        </w:rPr>
        <w:t>Contenido del Proyecto de Ley:</w:t>
      </w:r>
    </w:p>
    <w:p w:rsidR="009E30BF" w:rsidRPr="00A142D5" w:rsidRDefault="009E30BF" w:rsidP="009E30BF">
      <w:pPr>
        <w:jc w:val="both"/>
        <w:rPr>
          <w:rFonts w:cstheme="minorHAnsi"/>
          <w:sz w:val="24"/>
          <w:szCs w:val="24"/>
        </w:rPr>
      </w:pPr>
      <w:r w:rsidRPr="00A142D5">
        <w:rPr>
          <w:rFonts w:cstheme="minorHAnsi"/>
          <w:sz w:val="24"/>
          <w:szCs w:val="24"/>
        </w:rPr>
        <w:t xml:space="preserve">El proyecto de ley consta de </w:t>
      </w:r>
      <w:r w:rsidR="000D61D9" w:rsidRPr="00A142D5">
        <w:rPr>
          <w:rFonts w:cstheme="minorHAnsi"/>
          <w:sz w:val="24"/>
          <w:szCs w:val="24"/>
        </w:rPr>
        <w:t>29 artículo permanentes y 3 artículos transitorios.</w:t>
      </w:r>
      <w:r w:rsidR="007746E3" w:rsidRPr="00A142D5">
        <w:rPr>
          <w:rFonts w:cstheme="minorHAnsi"/>
          <w:sz w:val="24"/>
          <w:szCs w:val="24"/>
        </w:rPr>
        <w:t xml:space="preserve"> </w:t>
      </w:r>
      <w:r w:rsidR="00367517" w:rsidRPr="00A142D5">
        <w:rPr>
          <w:rFonts w:cstheme="minorHAnsi"/>
          <w:sz w:val="24"/>
          <w:szCs w:val="24"/>
        </w:rPr>
        <w:t xml:space="preserve">Lo primero que cabe mencionar el cómo se constituye el Fondo. Éste </w:t>
      </w:r>
      <w:r w:rsidR="00367517" w:rsidRPr="00A142D5">
        <w:rPr>
          <w:rFonts w:cstheme="minorHAnsi"/>
          <w:sz w:val="24"/>
          <w:szCs w:val="24"/>
        </w:rPr>
        <w:t xml:space="preserve">es una sociedad anónima constituida por el </w:t>
      </w:r>
      <w:r w:rsidR="00367517" w:rsidRPr="00A142D5">
        <w:rPr>
          <w:rFonts w:cstheme="minorHAnsi"/>
          <w:b/>
          <w:sz w:val="24"/>
          <w:szCs w:val="24"/>
        </w:rPr>
        <w:t>Fisco (99%)</w:t>
      </w:r>
      <w:r w:rsidR="00367517" w:rsidRPr="00A142D5">
        <w:rPr>
          <w:rFonts w:cstheme="minorHAnsi"/>
          <w:sz w:val="24"/>
          <w:szCs w:val="24"/>
        </w:rPr>
        <w:t xml:space="preserve"> y por la </w:t>
      </w:r>
      <w:r w:rsidR="00367517" w:rsidRPr="00A142D5">
        <w:rPr>
          <w:rFonts w:cstheme="minorHAnsi"/>
          <w:b/>
          <w:sz w:val="24"/>
          <w:szCs w:val="24"/>
        </w:rPr>
        <w:t>CORFO (1%)</w:t>
      </w:r>
      <w:r w:rsidR="0085267F" w:rsidRPr="00A142D5">
        <w:rPr>
          <w:rFonts w:cstheme="minorHAnsi"/>
          <w:sz w:val="24"/>
          <w:szCs w:val="24"/>
        </w:rPr>
        <w:t xml:space="preserve">. </w:t>
      </w:r>
      <w:r w:rsidR="0085267F" w:rsidRPr="00A142D5">
        <w:rPr>
          <w:rFonts w:cstheme="minorHAnsi"/>
          <w:sz w:val="24"/>
          <w:szCs w:val="24"/>
        </w:rPr>
        <w:t>Sus activos serán los excedentes de los</w:t>
      </w:r>
      <w:r w:rsidR="0085267F" w:rsidRPr="00A142D5">
        <w:rPr>
          <w:rFonts w:cstheme="minorHAnsi"/>
          <w:sz w:val="24"/>
          <w:szCs w:val="24"/>
        </w:rPr>
        <w:t xml:space="preserve"> peajes</w:t>
      </w:r>
      <w:r w:rsidR="0085267F" w:rsidRPr="00A142D5">
        <w:rPr>
          <w:rFonts w:cstheme="minorHAnsi"/>
          <w:sz w:val="24"/>
          <w:szCs w:val="24"/>
        </w:rPr>
        <w:t xml:space="preserve"> futuro</w:t>
      </w:r>
      <w:r w:rsidR="0085267F" w:rsidRPr="00A142D5">
        <w:rPr>
          <w:rFonts w:cstheme="minorHAnsi"/>
          <w:sz w:val="24"/>
          <w:szCs w:val="24"/>
        </w:rPr>
        <w:t>s</w:t>
      </w:r>
      <w:r w:rsidR="0085267F" w:rsidRPr="00A142D5">
        <w:rPr>
          <w:rFonts w:cstheme="minorHAnsi"/>
          <w:sz w:val="24"/>
          <w:szCs w:val="24"/>
        </w:rPr>
        <w:t xml:space="preserve"> considerados a valor presente (US$9.000 millones,</w:t>
      </w:r>
      <w:r w:rsidR="0085267F" w:rsidRPr="00A142D5">
        <w:rPr>
          <w:rFonts w:cstheme="minorHAnsi"/>
          <w:sz w:val="24"/>
          <w:szCs w:val="24"/>
        </w:rPr>
        <w:t xml:space="preserve"> aproximadamente).</w:t>
      </w:r>
    </w:p>
    <w:p w:rsidR="00367517" w:rsidRDefault="00367517" w:rsidP="009E30BF">
      <w:pPr>
        <w:jc w:val="both"/>
        <w:rPr>
          <w:rFonts w:cstheme="minorHAnsi"/>
          <w:sz w:val="24"/>
          <w:szCs w:val="24"/>
        </w:rPr>
      </w:pPr>
      <w:r w:rsidRPr="00A142D5">
        <w:rPr>
          <w:rFonts w:cstheme="minorHAnsi"/>
          <w:sz w:val="24"/>
          <w:szCs w:val="24"/>
        </w:rPr>
        <w:t xml:space="preserve">Adicionalmente el contenido se agrupa en función de los siguientes elementos: Facultades del Fondo, Gobierno Corporativo, Plan de Negocios, Régimen de Operaciones, </w:t>
      </w:r>
      <w:r w:rsidR="0085267F" w:rsidRPr="00A142D5">
        <w:rPr>
          <w:rFonts w:cstheme="minorHAnsi"/>
          <w:sz w:val="24"/>
          <w:szCs w:val="24"/>
        </w:rPr>
        <w:t>Efectos en la Ley de Presupuesto.</w:t>
      </w:r>
    </w:p>
    <w:p w:rsidR="00A142D5" w:rsidRPr="00A142D5" w:rsidRDefault="00A142D5" w:rsidP="009E30BF">
      <w:pPr>
        <w:jc w:val="both"/>
        <w:rPr>
          <w:rFonts w:cstheme="minorHAnsi"/>
          <w:sz w:val="24"/>
          <w:szCs w:val="24"/>
        </w:rPr>
      </w:pPr>
    </w:p>
    <w:p w:rsidR="0085267F" w:rsidRPr="00A142D5" w:rsidRDefault="0085267F" w:rsidP="009E30BF">
      <w:pPr>
        <w:jc w:val="both"/>
        <w:rPr>
          <w:rFonts w:cstheme="minorHAnsi"/>
          <w:b/>
          <w:smallCaps/>
          <w:sz w:val="28"/>
          <w:szCs w:val="24"/>
        </w:rPr>
      </w:pPr>
      <w:r w:rsidRPr="00A142D5">
        <w:rPr>
          <w:rFonts w:cstheme="minorHAnsi"/>
          <w:b/>
          <w:smallCaps/>
          <w:sz w:val="28"/>
          <w:szCs w:val="24"/>
        </w:rPr>
        <w:t>Comentarios Proyecto de Ley:</w:t>
      </w:r>
    </w:p>
    <w:p w:rsidR="0085267F" w:rsidRDefault="0085267F" w:rsidP="009E30BF">
      <w:pPr>
        <w:jc w:val="both"/>
        <w:rPr>
          <w:rFonts w:cstheme="minorHAnsi"/>
          <w:sz w:val="24"/>
          <w:szCs w:val="24"/>
        </w:rPr>
      </w:pPr>
      <w:r w:rsidRPr="00A142D5">
        <w:rPr>
          <w:rFonts w:cstheme="minorHAnsi"/>
          <w:sz w:val="24"/>
          <w:szCs w:val="24"/>
        </w:rPr>
        <w:t xml:space="preserve">El Gobierno ingresó una indicación al artículo </w:t>
      </w:r>
      <w:r w:rsidR="00177643">
        <w:rPr>
          <w:rFonts w:cstheme="minorHAnsi"/>
          <w:sz w:val="24"/>
          <w:szCs w:val="24"/>
        </w:rPr>
        <w:t>27</w:t>
      </w:r>
      <w:r w:rsidRPr="00A142D5">
        <w:rPr>
          <w:rFonts w:cstheme="minorHAnsi"/>
          <w:sz w:val="24"/>
          <w:szCs w:val="24"/>
        </w:rPr>
        <w:t xml:space="preserve"> del proyecto de ley, para limitar la fiscalización de la Contraloría General de la República a</w:t>
      </w:r>
      <w:r w:rsidRPr="00A142D5">
        <w:rPr>
          <w:rFonts w:cstheme="minorHAnsi"/>
          <w:sz w:val="24"/>
          <w:szCs w:val="24"/>
        </w:rPr>
        <w:t xml:space="preserve"> </w:t>
      </w:r>
      <w:r w:rsidRPr="00A142D5">
        <w:rPr>
          <w:rFonts w:cstheme="minorHAnsi"/>
          <w:sz w:val="24"/>
          <w:szCs w:val="24"/>
        </w:rPr>
        <w:t>“</w:t>
      </w:r>
      <w:r w:rsidRPr="00177643">
        <w:rPr>
          <w:rFonts w:cstheme="minorHAnsi"/>
          <w:sz w:val="24"/>
          <w:szCs w:val="24"/>
          <w:u w:val="single"/>
        </w:rPr>
        <w:t xml:space="preserve">los aportes de capital señalados en la letra a) del </w:t>
      </w:r>
      <w:r w:rsidR="00177643" w:rsidRPr="00177643">
        <w:rPr>
          <w:rFonts w:cstheme="minorHAnsi"/>
          <w:sz w:val="24"/>
          <w:szCs w:val="24"/>
          <w:u w:val="single"/>
        </w:rPr>
        <w:t>artículo 11 de la presente ley</w:t>
      </w:r>
      <w:r w:rsidR="00177643">
        <w:rPr>
          <w:rFonts w:cstheme="minorHAnsi"/>
          <w:sz w:val="24"/>
          <w:szCs w:val="24"/>
        </w:rPr>
        <w:t>”. Esto es, limita la fiscalización de Contraloría al capital inicial.</w:t>
      </w:r>
    </w:p>
    <w:p w:rsidR="00177643" w:rsidRPr="00177643" w:rsidRDefault="00177643" w:rsidP="00177643">
      <w:pPr>
        <w:tabs>
          <w:tab w:val="left" w:pos="2835"/>
        </w:tabs>
        <w:jc w:val="both"/>
        <w:rPr>
          <w:rFonts w:cs="Arial"/>
          <w:i/>
          <w:sz w:val="24"/>
          <w:szCs w:val="24"/>
          <w:lang w:val="es-ES_tradnl"/>
        </w:rPr>
      </w:pPr>
      <w:r w:rsidRPr="00177643">
        <w:rPr>
          <w:rFonts w:cstheme="minorHAnsi"/>
          <w:i/>
          <w:sz w:val="24"/>
          <w:szCs w:val="24"/>
        </w:rPr>
        <w:t>“</w:t>
      </w:r>
      <w:r w:rsidRPr="00177643">
        <w:rPr>
          <w:rFonts w:cs="Arial"/>
          <w:i/>
          <w:sz w:val="24"/>
          <w:szCs w:val="24"/>
          <w:lang w:val="es-ES_tradnl"/>
        </w:rPr>
        <w:t>Artículo 11.- El patrimonio del Fondo estará constituido por:</w:t>
      </w:r>
    </w:p>
    <w:p w:rsidR="00177643" w:rsidRPr="00177643" w:rsidRDefault="00177643" w:rsidP="00177643">
      <w:pPr>
        <w:jc w:val="both"/>
        <w:rPr>
          <w:rFonts w:cstheme="minorHAnsi"/>
          <w:i/>
          <w:sz w:val="24"/>
          <w:szCs w:val="24"/>
        </w:rPr>
      </w:pPr>
      <w:r w:rsidRPr="00177643">
        <w:rPr>
          <w:rFonts w:cs="Arial"/>
          <w:i/>
          <w:sz w:val="24"/>
          <w:szCs w:val="24"/>
          <w:lang w:val="es-ES_tradnl"/>
        </w:rPr>
        <w:t>a) El capital inicial que suscribirán y pagarán el Fisco y la Corporación de Fomento de la Producción, en proporción a la participación accionaria de ambos. El Fisco podrá suscribir y pagar el capital inicial, total o parcialmente, con el aporte de bienes fiscales y nacionales de uso público, valorados económicamente, operación que en todo caso se encontrará exenta de impuesto</w:t>
      </w:r>
      <w:r w:rsidRPr="00177643">
        <w:rPr>
          <w:rFonts w:cs="Arial"/>
          <w:i/>
          <w:sz w:val="24"/>
          <w:szCs w:val="24"/>
          <w:lang w:val="es-ES_tradnl"/>
        </w:rPr>
        <w:t>”.</w:t>
      </w:r>
    </w:p>
    <w:p w:rsidR="0085267F" w:rsidRPr="00A142D5" w:rsidRDefault="0085267F" w:rsidP="0085267F">
      <w:pPr>
        <w:tabs>
          <w:tab w:val="left" w:pos="2835"/>
        </w:tabs>
        <w:contextualSpacing/>
        <w:jc w:val="both"/>
        <w:rPr>
          <w:rFonts w:eastAsia="Calibri" w:cstheme="minorHAnsi"/>
          <w:sz w:val="24"/>
          <w:szCs w:val="24"/>
        </w:rPr>
      </w:pPr>
      <w:r w:rsidRPr="00A142D5">
        <w:rPr>
          <w:rFonts w:cstheme="minorHAnsi"/>
          <w:sz w:val="24"/>
          <w:szCs w:val="24"/>
        </w:rPr>
        <w:lastRenderedPageBreak/>
        <w:t xml:space="preserve">En ese sentido, el senador Coloma, durante su exposición en la Comisión de Hacienda, </w:t>
      </w:r>
      <w:proofErr w:type="gramStart"/>
      <w:r w:rsidRPr="00A142D5">
        <w:rPr>
          <w:rFonts w:cstheme="minorHAnsi"/>
          <w:sz w:val="24"/>
          <w:szCs w:val="24"/>
        </w:rPr>
        <w:t>sostuvo</w:t>
      </w:r>
      <w:proofErr w:type="gramEnd"/>
      <w:r w:rsidRPr="00A142D5">
        <w:rPr>
          <w:rFonts w:cstheme="minorHAnsi"/>
          <w:sz w:val="24"/>
          <w:szCs w:val="24"/>
        </w:rPr>
        <w:t xml:space="preserve"> que  el </w:t>
      </w:r>
      <w:r w:rsidRPr="00A142D5">
        <w:rPr>
          <w:rFonts w:cstheme="minorHAnsi"/>
          <w:sz w:val="24"/>
          <w:szCs w:val="24"/>
        </w:rPr>
        <w:t xml:space="preserve">cambio </w:t>
      </w:r>
      <w:r w:rsidRPr="00A142D5">
        <w:rPr>
          <w:rFonts w:cstheme="minorHAnsi"/>
          <w:sz w:val="24"/>
          <w:szCs w:val="24"/>
        </w:rPr>
        <w:t>propuesto es</w:t>
      </w:r>
      <w:r w:rsidRPr="00A142D5">
        <w:rPr>
          <w:rFonts w:cstheme="minorHAnsi"/>
          <w:sz w:val="24"/>
          <w:szCs w:val="24"/>
        </w:rPr>
        <w:t xml:space="preserve"> de la mayor importancia, dado que implicaría un cambio del rol de la </w:t>
      </w:r>
      <w:r w:rsidRPr="00A142D5">
        <w:rPr>
          <w:rFonts w:eastAsia="Calibri" w:cstheme="minorHAnsi"/>
          <w:sz w:val="24"/>
          <w:szCs w:val="24"/>
        </w:rPr>
        <w:t xml:space="preserve">Contraloría General de la República respecto de todas </w:t>
      </w:r>
      <w:r w:rsidRPr="00A142D5">
        <w:rPr>
          <w:rFonts w:eastAsia="Calibri" w:cstheme="minorHAnsi"/>
          <w:sz w:val="24"/>
          <w:szCs w:val="24"/>
        </w:rPr>
        <w:t>las empresas</w:t>
      </w:r>
      <w:r w:rsidRPr="00A142D5">
        <w:rPr>
          <w:rFonts w:eastAsia="Calibri" w:cstheme="minorHAnsi"/>
          <w:sz w:val="24"/>
          <w:szCs w:val="24"/>
        </w:rPr>
        <w:t xml:space="preserve"> y responde a un caso </w:t>
      </w:r>
      <w:r w:rsidRPr="00A142D5">
        <w:rPr>
          <w:rFonts w:eastAsia="Calibri" w:cstheme="minorHAnsi"/>
          <w:sz w:val="24"/>
          <w:szCs w:val="24"/>
        </w:rPr>
        <w:t>coyuntural</w:t>
      </w:r>
      <w:r w:rsidRPr="00A142D5">
        <w:rPr>
          <w:rFonts w:eastAsia="Calibri" w:cstheme="minorHAnsi"/>
          <w:sz w:val="24"/>
          <w:szCs w:val="24"/>
        </w:rPr>
        <w:t xml:space="preserve"> de CODELCO. </w:t>
      </w:r>
      <w:r w:rsidRPr="00A142D5">
        <w:rPr>
          <w:rFonts w:eastAsia="Calibri" w:cstheme="minorHAnsi"/>
          <w:sz w:val="24"/>
          <w:szCs w:val="24"/>
        </w:rPr>
        <w:t xml:space="preserve">Añadió que </w:t>
      </w:r>
      <w:r w:rsidRPr="00A142D5">
        <w:rPr>
          <w:rFonts w:eastAsia="Calibri" w:cstheme="minorHAnsi"/>
          <w:sz w:val="24"/>
          <w:szCs w:val="24"/>
        </w:rPr>
        <w:t>la propuesta del Ejecutivo parece más una forma de reclamar y limitar el</w:t>
      </w:r>
      <w:r w:rsidRPr="00A142D5">
        <w:rPr>
          <w:rFonts w:eastAsia="Calibri" w:cstheme="minorHAnsi"/>
          <w:sz w:val="24"/>
          <w:szCs w:val="24"/>
        </w:rPr>
        <w:t xml:space="preserve"> accionar de la Contraloría.</w:t>
      </w:r>
    </w:p>
    <w:p w:rsidR="00AA1599" w:rsidRPr="00A142D5" w:rsidRDefault="00AA1599" w:rsidP="0085267F">
      <w:pPr>
        <w:tabs>
          <w:tab w:val="left" w:pos="2835"/>
        </w:tabs>
        <w:contextualSpacing/>
        <w:jc w:val="both"/>
        <w:rPr>
          <w:rFonts w:eastAsia="Calibri" w:cstheme="minorHAnsi"/>
          <w:sz w:val="24"/>
          <w:szCs w:val="24"/>
        </w:rPr>
      </w:pPr>
    </w:p>
    <w:p w:rsidR="00AA1599" w:rsidRPr="00A142D5" w:rsidRDefault="00AA1599" w:rsidP="0085267F">
      <w:pPr>
        <w:tabs>
          <w:tab w:val="left" w:pos="2835"/>
        </w:tabs>
        <w:contextualSpacing/>
        <w:jc w:val="both"/>
        <w:rPr>
          <w:rFonts w:eastAsia="Calibri" w:cstheme="minorHAnsi"/>
          <w:sz w:val="24"/>
          <w:szCs w:val="24"/>
        </w:rPr>
      </w:pPr>
      <w:r w:rsidRPr="00A142D5">
        <w:rPr>
          <w:rFonts w:eastAsia="Calibri" w:cstheme="minorHAnsi"/>
          <w:sz w:val="24"/>
          <w:szCs w:val="24"/>
        </w:rPr>
        <w:t xml:space="preserve">Si bien el Ejecutivo sostuvo que la modificación es </w:t>
      </w:r>
      <w:r w:rsidRPr="00A142D5">
        <w:rPr>
          <w:rFonts w:eastAsia="Calibri" w:cstheme="minorHAnsi"/>
          <w:sz w:val="24"/>
          <w:szCs w:val="24"/>
        </w:rPr>
        <w:t>consistente con la ley orgánica de la Contraloría General de la República y con el artículo 98 de la Carta Fundamental, en cuanto dispone que “fiscalizará el ingreso y la inversión de los fondos del Fisco</w:t>
      </w:r>
      <w:r w:rsidRPr="00A142D5">
        <w:rPr>
          <w:rFonts w:eastAsia="Calibri" w:cstheme="minorHAnsi"/>
          <w:sz w:val="24"/>
          <w:szCs w:val="24"/>
        </w:rPr>
        <w:t>”, el senador Coloma solicitó una opinión del Contralor respecto del tema.</w:t>
      </w:r>
    </w:p>
    <w:p w:rsidR="00AA1599" w:rsidRPr="00A142D5" w:rsidRDefault="00AA1599" w:rsidP="0085267F">
      <w:pPr>
        <w:tabs>
          <w:tab w:val="left" w:pos="2835"/>
        </w:tabs>
        <w:contextualSpacing/>
        <w:jc w:val="both"/>
        <w:rPr>
          <w:rFonts w:eastAsia="Calibri" w:cstheme="minorHAnsi"/>
          <w:sz w:val="24"/>
          <w:szCs w:val="24"/>
        </w:rPr>
      </w:pPr>
    </w:p>
    <w:p w:rsidR="00AA1599" w:rsidRPr="00A142D5" w:rsidRDefault="00AA1599" w:rsidP="0085267F">
      <w:pPr>
        <w:tabs>
          <w:tab w:val="left" w:pos="2835"/>
        </w:tabs>
        <w:contextualSpacing/>
        <w:jc w:val="both"/>
        <w:rPr>
          <w:rFonts w:eastAsia="Calibri" w:cstheme="minorHAnsi"/>
          <w:sz w:val="24"/>
          <w:szCs w:val="24"/>
        </w:rPr>
      </w:pPr>
      <w:r w:rsidRPr="00A142D5">
        <w:rPr>
          <w:rFonts w:eastAsia="Calibri" w:cstheme="minorHAnsi"/>
          <w:sz w:val="24"/>
          <w:szCs w:val="24"/>
        </w:rPr>
        <w:t>La opinión del Contralor fue lapidaria para la intención del Ejecutivo y es del siguiente tenor:</w:t>
      </w:r>
    </w:p>
    <w:p w:rsidR="00AA1599" w:rsidRPr="00A142D5" w:rsidRDefault="00AA1599" w:rsidP="0085267F">
      <w:pPr>
        <w:tabs>
          <w:tab w:val="left" w:pos="2835"/>
        </w:tabs>
        <w:contextualSpacing/>
        <w:jc w:val="both"/>
        <w:rPr>
          <w:rFonts w:eastAsia="Calibri" w:cstheme="minorHAnsi"/>
          <w:sz w:val="24"/>
          <w:szCs w:val="24"/>
        </w:rPr>
      </w:pPr>
    </w:p>
    <w:p w:rsidR="00AA1599" w:rsidRPr="00A142D5" w:rsidRDefault="00AA1599" w:rsidP="00AA1599">
      <w:pPr>
        <w:tabs>
          <w:tab w:val="left" w:pos="2835"/>
        </w:tabs>
        <w:contextualSpacing/>
        <w:jc w:val="both"/>
        <w:rPr>
          <w:rFonts w:eastAsia="Calibri" w:cstheme="minorHAnsi"/>
          <w:i/>
          <w:sz w:val="24"/>
          <w:szCs w:val="24"/>
          <w:lang w:bidi="es-ES"/>
        </w:rPr>
      </w:pPr>
      <w:r w:rsidRPr="00A142D5">
        <w:rPr>
          <w:rFonts w:eastAsia="Calibri" w:cstheme="minorHAnsi"/>
          <w:sz w:val="24"/>
          <w:szCs w:val="24"/>
        </w:rPr>
        <w:t>“</w:t>
      </w:r>
      <w:r w:rsidRPr="00A142D5">
        <w:rPr>
          <w:rFonts w:eastAsia="Calibri" w:cstheme="minorHAnsi"/>
          <w:i/>
          <w:sz w:val="24"/>
          <w:szCs w:val="24"/>
          <w:lang w:bidi="es-ES"/>
        </w:rPr>
        <w:t>Problemas que genera la modificación que pretende introducirse.</w:t>
      </w:r>
    </w:p>
    <w:p w:rsidR="00AA1599" w:rsidRPr="00A142D5" w:rsidRDefault="00AA1599" w:rsidP="00AA1599">
      <w:pPr>
        <w:tabs>
          <w:tab w:val="left" w:pos="2835"/>
        </w:tabs>
        <w:contextualSpacing/>
        <w:jc w:val="both"/>
        <w:rPr>
          <w:rFonts w:eastAsia="Calibri" w:cstheme="minorHAnsi"/>
          <w:i/>
          <w:sz w:val="24"/>
          <w:szCs w:val="24"/>
          <w:lang w:bidi="es-ES"/>
        </w:rPr>
      </w:pPr>
    </w:p>
    <w:p w:rsidR="00AA1599" w:rsidRPr="00A142D5" w:rsidRDefault="00AA1599" w:rsidP="00AA1599">
      <w:pPr>
        <w:tabs>
          <w:tab w:val="left" w:pos="2835"/>
        </w:tabs>
        <w:contextualSpacing/>
        <w:jc w:val="both"/>
        <w:rPr>
          <w:rFonts w:eastAsia="Calibri" w:cstheme="minorHAnsi"/>
          <w:i/>
          <w:sz w:val="24"/>
          <w:szCs w:val="24"/>
          <w:lang w:bidi="es-ES"/>
        </w:rPr>
      </w:pPr>
      <w:r w:rsidRPr="00A142D5">
        <w:rPr>
          <w:rFonts w:eastAsia="Calibri" w:cstheme="minorHAnsi"/>
          <w:i/>
          <w:sz w:val="24"/>
          <w:szCs w:val="24"/>
          <w:lang w:bidi="es-ES"/>
        </w:rPr>
        <w:t xml:space="preserve">a) En primer término, según se indicara, </w:t>
      </w:r>
      <w:r w:rsidRPr="00A142D5">
        <w:rPr>
          <w:rFonts w:eastAsia="Calibri" w:cstheme="minorHAnsi"/>
          <w:i/>
          <w:sz w:val="24"/>
          <w:szCs w:val="24"/>
          <w:u w:val="single"/>
          <w:lang w:bidi="es-ES"/>
        </w:rPr>
        <w:t>esta Contraloría General tiene la obligación de carácter constitucional de fiscalizar los fondos públicos</w:t>
      </w:r>
      <w:r w:rsidRPr="00A142D5">
        <w:rPr>
          <w:rFonts w:eastAsia="Calibri" w:cstheme="minorHAnsi"/>
          <w:i/>
          <w:sz w:val="24"/>
          <w:szCs w:val="24"/>
          <w:lang w:bidi="es-ES"/>
        </w:rPr>
        <w:t xml:space="preserve">, de manera que no es posible, por la vía legal reducirse ese control exclusivamente al “capital inicial” de la sociedad, como se propone en la especie, toda vez que </w:t>
      </w:r>
      <w:r w:rsidRPr="00A142D5">
        <w:rPr>
          <w:rFonts w:eastAsia="Calibri" w:cstheme="minorHAnsi"/>
          <w:b/>
          <w:i/>
          <w:sz w:val="24"/>
          <w:szCs w:val="24"/>
          <w:lang w:bidi="es-ES"/>
        </w:rPr>
        <w:t>ello sería claramente inconstitucional</w:t>
      </w:r>
      <w:r w:rsidRPr="00A142D5">
        <w:rPr>
          <w:rFonts w:eastAsia="Calibri" w:cstheme="minorHAnsi"/>
          <w:i/>
          <w:sz w:val="24"/>
          <w:szCs w:val="24"/>
          <w:lang w:bidi="es-ES"/>
        </w:rPr>
        <w:t>.</w:t>
      </w:r>
    </w:p>
    <w:p w:rsidR="00AA1599" w:rsidRPr="00A142D5" w:rsidRDefault="00AA1599" w:rsidP="00AA1599">
      <w:pPr>
        <w:tabs>
          <w:tab w:val="left" w:pos="2835"/>
        </w:tabs>
        <w:contextualSpacing/>
        <w:jc w:val="both"/>
        <w:rPr>
          <w:rFonts w:eastAsia="Calibri" w:cstheme="minorHAnsi"/>
          <w:i/>
          <w:sz w:val="24"/>
          <w:szCs w:val="24"/>
          <w:lang w:bidi="es-ES"/>
        </w:rPr>
      </w:pPr>
    </w:p>
    <w:p w:rsidR="00AA1599" w:rsidRPr="00A142D5" w:rsidRDefault="00AA1599" w:rsidP="00AA1599">
      <w:pPr>
        <w:tabs>
          <w:tab w:val="left" w:pos="2835"/>
        </w:tabs>
        <w:contextualSpacing/>
        <w:jc w:val="both"/>
        <w:rPr>
          <w:rFonts w:eastAsia="Calibri" w:cstheme="minorHAnsi"/>
          <w:i/>
          <w:sz w:val="24"/>
          <w:szCs w:val="24"/>
          <w:lang w:bidi="es-ES"/>
        </w:rPr>
      </w:pPr>
      <w:r w:rsidRPr="00A142D5">
        <w:rPr>
          <w:rFonts w:eastAsia="Calibri" w:cstheme="minorHAnsi"/>
          <w:i/>
          <w:sz w:val="24"/>
          <w:szCs w:val="24"/>
          <w:lang w:bidi="es-ES"/>
        </w:rPr>
        <w:t>En efecto, una norma como la propuesta implica alterar el sistema de control público previsto por la Carta Fundamental, que descansa sobre la base de que este Organismo es el encargado de fiscalizar los fondos públicos.</w:t>
      </w:r>
    </w:p>
    <w:p w:rsidR="00AA1599" w:rsidRPr="00A142D5" w:rsidRDefault="00AA1599" w:rsidP="00AA1599">
      <w:pPr>
        <w:tabs>
          <w:tab w:val="left" w:pos="2835"/>
        </w:tabs>
        <w:contextualSpacing/>
        <w:jc w:val="both"/>
        <w:rPr>
          <w:rFonts w:eastAsia="Calibri" w:cstheme="minorHAnsi"/>
          <w:i/>
          <w:sz w:val="24"/>
          <w:szCs w:val="24"/>
          <w:lang w:bidi="es-ES"/>
        </w:rPr>
      </w:pPr>
    </w:p>
    <w:p w:rsidR="00AA1599" w:rsidRPr="00A142D5" w:rsidRDefault="00AA1599" w:rsidP="00AA1599">
      <w:pPr>
        <w:tabs>
          <w:tab w:val="left" w:pos="2835"/>
        </w:tabs>
        <w:contextualSpacing/>
        <w:jc w:val="both"/>
        <w:rPr>
          <w:rFonts w:eastAsia="Calibri" w:cstheme="minorHAnsi"/>
          <w:i/>
          <w:sz w:val="24"/>
          <w:szCs w:val="24"/>
          <w:lang w:bidi="es-ES"/>
        </w:rPr>
      </w:pPr>
      <w:r w:rsidRPr="00A142D5">
        <w:rPr>
          <w:rFonts w:eastAsia="Calibri" w:cstheme="minorHAnsi"/>
          <w:i/>
          <w:sz w:val="24"/>
          <w:szCs w:val="24"/>
          <w:lang w:bidi="es-ES"/>
        </w:rPr>
        <w:t>Además, no se advierten las razones que justificarían sustraer a la sociedad que se crea del régimen general de control al que se encuentran sometidas el resto de las entidades de similar naturaleza, lo que también podría significar una vulneración al artículo 19 N° 2 de la Constitución.</w:t>
      </w:r>
    </w:p>
    <w:p w:rsidR="00AA1599" w:rsidRPr="00A142D5" w:rsidRDefault="00AA1599" w:rsidP="00AA1599">
      <w:pPr>
        <w:tabs>
          <w:tab w:val="left" w:pos="2835"/>
        </w:tabs>
        <w:contextualSpacing/>
        <w:jc w:val="both"/>
        <w:rPr>
          <w:rFonts w:eastAsia="Calibri" w:cstheme="minorHAnsi"/>
          <w:i/>
          <w:sz w:val="24"/>
          <w:szCs w:val="24"/>
          <w:lang w:bidi="es-ES"/>
        </w:rPr>
      </w:pPr>
    </w:p>
    <w:p w:rsidR="00AA1599" w:rsidRPr="00A142D5" w:rsidRDefault="00AA1599" w:rsidP="00AA1599">
      <w:pPr>
        <w:tabs>
          <w:tab w:val="left" w:pos="2835"/>
        </w:tabs>
        <w:contextualSpacing/>
        <w:jc w:val="both"/>
        <w:rPr>
          <w:rFonts w:eastAsia="Calibri" w:cstheme="minorHAnsi"/>
          <w:i/>
          <w:sz w:val="24"/>
          <w:szCs w:val="24"/>
          <w:lang w:bidi="es-ES"/>
        </w:rPr>
      </w:pPr>
      <w:r w:rsidRPr="00A142D5">
        <w:rPr>
          <w:rFonts w:eastAsia="Calibri" w:cstheme="minorHAnsi"/>
          <w:i/>
          <w:sz w:val="24"/>
          <w:szCs w:val="24"/>
          <w:lang w:bidi="es-ES"/>
        </w:rPr>
        <w:t xml:space="preserve">b) Teniendo en cuenta que la creación de la sociedad de que se trata persigue el cumplimiento de objetivos públicos, que implican la necesidad de una gestión idónea de los recursos y funciones involucrados, </w:t>
      </w:r>
      <w:r w:rsidRPr="00A142D5">
        <w:rPr>
          <w:rFonts w:eastAsia="Calibri" w:cstheme="minorHAnsi"/>
          <w:i/>
          <w:sz w:val="24"/>
          <w:szCs w:val="24"/>
          <w:u w:val="single"/>
          <w:lang w:bidi="es-ES"/>
        </w:rPr>
        <w:t>un precepto como el que se propone implica un retroceso importante en el principio del control público</w:t>
      </w:r>
      <w:r w:rsidRPr="00A142D5">
        <w:rPr>
          <w:rFonts w:eastAsia="Calibri" w:cstheme="minorHAnsi"/>
          <w:i/>
          <w:sz w:val="24"/>
          <w:szCs w:val="24"/>
          <w:lang w:bidi="es-ES"/>
        </w:rPr>
        <w:t>, que en el actual ordenamiento jurídico tiene una relevancia fundamental.</w:t>
      </w:r>
    </w:p>
    <w:p w:rsidR="00AA1599" w:rsidRPr="00A142D5" w:rsidRDefault="00AA1599" w:rsidP="00AA1599">
      <w:pPr>
        <w:tabs>
          <w:tab w:val="left" w:pos="2835"/>
        </w:tabs>
        <w:contextualSpacing/>
        <w:jc w:val="both"/>
        <w:rPr>
          <w:rFonts w:eastAsia="Calibri" w:cstheme="minorHAnsi"/>
          <w:i/>
          <w:sz w:val="24"/>
          <w:szCs w:val="24"/>
          <w:lang w:bidi="es-ES"/>
        </w:rPr>
      </w:pPr>
    </w:p>
    <w:p w:rsidR="00AA1599" w:rsidRPr="00A142D5" w:rsidRDefault="00AA1599" w:rsidP="00AA1599">
      <w:pPr>
        <w:tabs>
          <w:tab w:val="left" w:pos="2835"/>
        </w:tabs>
        <w:contextualSpacing/>
        <w:jc w:val="both"/>
        <w:rPr>
          <w:rFonts w:eastAsia="Calibri" w:cstheme="minorHAnsi"/>
          <w:i/>
          <w:sz w:val="24"/>
          <w:szCs w:val="24"/>
          <w:lang w:bidi="es-ES"/>
        </w:rPr>
      </w:pPr>
      <w:r w:rsidRPr="00A142D5">
        <w:rPr>
          <w:rFonts w:eastAsia="Calibri" w:cstheme="minorHAnsi"/>
          <w:i/>
          <w:sz w:val="24"/>
          <w:szCs w:val="24"/>
          <w:lang w:bidi="es-ES"/>
        </w:rPr>
        <w:t>En este sentido, no puede desconocerse que las actuaciones que realice tal entidad, en cuanto se vinculen con el interés general, requieren dar estricto cumplimiento al principio de probidad administrativa, consagrada en el artículo 8° de la Carta Fundamental, cuya vigencia depende indefectiblemente del control.</w:t>
      </w:r>
    </w:p>
    <w:p w:rsidR="00AA1599" w:rsidRPr="00A142D5" w:rsidRDefault="00AA1599" w:rsidP="00AA1599">
      <w:pPr>
        <w:tabs>
          <w:tab w:val="left" w:pos="2835"/>
        </w:tabs>
        <w:contextualSpacing/>
        <w:jc w:val="both"/>
        <w:rPr>
          <w:rFonts w:eastAsia="Calibri" w:cstheme="minorHAnsi"/>
          <w:i/>
          <w:sz w:val="24"/>
          <w:szCs w:val="24"/>
          <w:lang w:bidi="es-ES"/>
        </w:rPr>
      </w:pPr>
    </w:p>
    <w:p w:rsidR="00AA1599" w:rsidRPr="00A142D5" w:rsidRDefault="00AA1599" w:rsidP="00AA1599">
      <w:pPr>
        <w:tabs>
          <w:tab w:val="left" w:pos="2835"/>
        </w:tabs>
        <w:contextualSpacing/>
        <w:jc w:val="both"/>
        <w:rPr>
          <w:rFonts w:eastAsia="Calibri" w:cstheme="minorHAnsi"/>
          <w:i/>
          <w:sz w:val="24"/>
          <w:szCs w:val="24"/>
          <w:lang w:bidi="es-ES"/>
        </w:rPr>
      </w:pPr>
      <w:r w:rsidRPr="00A142D5">
        <w:rPr>
          <w:rFonts w:eastAsia="Calibri" w:cstheme="minorHAnsi"/>
          <w:i/>
          <w:sz w:val="24"/>
          <w:szCs w:val="24"/>
          <w:lang w:bidi="es-ES"/>
        </w:rPr>
        <w:lastRenderedPageBreak/>
        <w:t>Además, una falta de control de esas actuaciones desatiende los principios de control y responsabilidad que consagra la ley N° 18.575, Orgánica Constitucional de Bases Generales de la Administración del Estado.</w:t>
      </w:r>
    </w:p>
    <w:p w:rsidR="00AA1599" w:rsidRPr="00A142D5" w:rsidRDefault="00AA1599" w:rsidP="00AA1599">
      <w:pPr>
        <w:tabs>
          <w:tab w:val="left" w:pos="2835"/>
        </w:tabs>
        <w:contextualSpacing/>
        <w:jc w:val="both"/>
        <w:rPr>
          <w:rFonts w:eastAsia="Calibri" w:cstheme="minorHAnsi"/>
          <w:i/>
          <w:sz w:val="24"/>
          <w:szCs w:val="24"/>
          <w:lang w:bidi="es-ES"/>
        </w:rPr>
      </w:pPr>
    </w:p>
    <w:p w:rsidR="00AA1599" w:rsidRPr="00A142D5" w:rsidRDefault="00AA1599" w:rsidP="00AA1599">
      <w:pPr>
        <w:tabs>
          <w:tab w:val="left" w:pos="2835"/>
        </w:tabs>
        <w:contextualSpacing/>
        <w:jc w:val="both"/>
        <w:rPr>
          <w:rFonts w:eastAsia="Calibri" w:cstheme="minorHAnsi"/>
          <w:i/>
          <w:sz w:val="24"/>
          <w:szCs w:val="24"/>
          <w:lang w:bidi="es-ES"/>
        </w:rPr>
      </w:pPr>
      <w:r w:rsidRPr="00A142D5">
        <w:rPr>
          <w:rFonts w:eastAsia="Calibri" w:cstheme="minorHAnsi"/>
          <w:i/>
          <w:sz w:val="24"/>
          <w:szCs w:val="24"/>
          <w:lang w:bidi="es-ES"/>
        </w:rPr>
        <w:t xml:space="preserve">Al respecto, la falta del debido control de la sociedad en comento </w:t>
      </w:r>
      <w:r w:rsidRPr="00A142D5">
        <w:rPr>
          <w:rFonts w:eastAsia="Calibri" w:cstheme="minorHAnsi"/>
          <w:b/>
          <w:i/>
          <w:sz w:val="24"/>
          <w:szCs w:val="24"/>
          <w:lang w:bidi="es-ES"/>
        </w:rPr>
        <w:t>puede traducirse en una merma al Estado de Derecho</w:t>
      </w:r>
      <w:r w:rsidRPr="00A142D5">
        <w:rPr>
          <w:rFonts w:eastAsia="Calibri" w:cstheme="minorHAnsi"/>
          <w:i/>
          <w:sz w:val="24"/>
          <w:szCs w:val="24"/>
          <w:lang w:bidi="es-ES"/>
        </w:rPr>
        <w:t>, cuyo elemento consustancial es la sujeción al control público de los entes que cumplen funciones públicas, sin que ninguno de éstos pueda quedar al margen de ese presupuesto fundamental.</w:t>
      </w:r>
    </w:p>
    <w:p w:rsidR="00AA1599" w:rsidRPr="00A142D5" w:rsidRDefault="00AA1599" w:rsidP="00AA1599">
      <w:pPr>
        <w:tabs>
          <w:tab w:val="left" w:pos="2835"/>
        </w:tabs>
        <w:contextualSpacing/>
        <w:jc w:val="both"/>
        <w:rPr>
          <w:rFonts w:eastAsia="Calibri" w:cstheme="minorHAnsi"/>
          <w:i/>
          <w:sz w:val="24"/>
          <w:szCs w:val="24"/>
          <w:lang w:bidi="es-ES"/>
        </w:rPr>
      </w:pPr>
    </w:p>
    <w:p w:rsidR="00AA1599" w:rsidRPr="00A142D5" w:rsidRDefault="00AA1599" w:rsidP="00AA1599">
      <w:pPr>
        <w:tabs>
          <w:tab w:val="left" w:pos="2835"/>
        </w:tabs>
        <w:contextualSpacing/>
        <w:jc w:val="both"/>
        <w:rPr>
          <w:rFonts w:eastAsia="Calibri" w:cstheme="minorHAnsi"/>
          <w:i/>
          <w:sz w:val="24"/>
          <w:szCs w:val="24"/>
          <w:lang w:bidi="es-ES"/>
        </w:rPr>
      </w:pPr>
      <w:r w:rsidRPr="00A142D5">
        <w:rPr>
          <w:rFonts w:eastAsia="Calibri" w:cstheme="minorHAnsi"/>
          <w:i/>
          <w:sz w:val="24"/>
          <w:szCs w:val="24"/>
          <w:lang w:bidi="es-ES"/>
        </w:rPr>
        <w:t>c) Dificultades prácticas en la aplicación de la norma propuesta. El tenor de ésta adolece de falta de claridad y su aplicación práctica resultaría muy difícil.</w:t>
      </w:r>
    </w:p>
    <w:p w:rsidR="00AA1599" w:rsidRPr="00A142D5" w:rsidRDefault="00AA1599" w:rsidP="00AA1599">
      <w:pPr>
        <w:tabs>
          <w:tab w:val="left" w:pos="2835"/>
        </w:tabs>
        <w:contextualSpacing/>
        <w:jc w:val="both"/>
        <w:rPr>
          <w:rFonts w:eastAsia="Calibri" w:cstheme="minorHAnsi"/>
          <w:i/>
          <w:sz w:val="24"/>
          <w:szCs w:val="24"/>
          <w:lang w:bidi="es-ES"/>
        </w:rPr>
      </w:pPr>
    </w:p>
    <w:p w:rsidR="00AA1599" w:rsidRPr="00A142D5" w:rsidRDefault="00AA1599" w:rsidP="00AA1599">
      <w:pPr>
        <w:tabs>
          <w:tab w:val="left" w:pos="2835"/>
        </w:tabs>
        <w:contextualSpacing/>
        <w:jc w:val="both"/>
        <w:rPr>
          <w:rFonts w:eastAsia="Calibri" w:cstheme="minorHAnsi"/>
          <w:sz w:val="24"/>
          <w:szCs w:val="24"/>
          <w:lang w:bidi="es-ES"/>
        </w:rPr>
      </w:pPr>
      <w:r w:rsidRPr="00A142D5">
        <w:rPr>
          <w:rFonts w:eastAsia="Calibri" w:cstheme="minorHAnsi"/>
          <w:i/>
          <w:sz w:val="24"/>
          <w:szCs w:val="24"/>
          <w:lang w:bidi="es-ES"/>
        </w:rPr>
        <w:t xml:space="preserve">En efecto, </w:t>
      </w:r>
      <w:r w:rsidRPr="00A142D5">
        <w:rPr>
          <w:rFonts w:eastAsia="Calibri" w:cstheme="minorHAnsi"/>
          <w:i/>
          <w:sz w:val="24"/>
          <w:szCs w:val="24"/>
          <w:u w:val="single"/>
          <w:lang w:bidi="es-ES"/>
        </w:rPr>
        <w:t>resulta impracticable fiscalizar sólo el aporte inicial de la sociedad</w:t>
      </w:r>
      <w:r w:rsidRPr="00A142D5">
        <w:rPr>
          <w:rFonts w:eastAsia="Calibri" w:cstheme="minorHAnsi"/>
          <w:i/>
          <w:sz w:val="24"/>
          <w:szCs w:val="24"/>
          <w:lang w:bidi="es-ES"/>
        </w:rPr>
        <w:t>, dejando al margen el resto, ya que se produce, en los hechos una confusión de recursos, resultando casi imposible verificar si una determinada contravención al ordenamiento jurídico ha tenido lugar con unos fondos u otros.</w:t>
      </w:r>
      <w:r w:rsidRPr="00A142D5">
        <w:rPr>
          <w:rFonts w:eastAsia="Calibri" w:cstheme="minorHAnsi"/>
          <w:sz w:val="24"/>
          <w:szCs w:val="24"/>
          <w:lang w:bidi="es-ES"/>
        </w:rPr>
        <w:t>”.</w:t>
      </w:r>
    </w:p>
    <w:p w:rsidR="000D7877" w:rsidRPr="00A142D5" w:rsidRDefault="000D7877" w:rsidP="00AA1599">
      <w:pPr>
        <w:tabs>
          <w:tab w:val="left" w:pos="2835"/>
        </w:tabs>
        <w:contextualSpacing/>
        <w:jc w:val="both"/>
        <w:rPr>
          <w:rFonts w:eastAsia="Calibri" w:cstheme="minorHAnsi"/>
          <w:sz w:val="24"/>
          <w:szCs w:val="24"/>
          <w:lang w:bidi="es-ES"/>
        </w:rPr>
      </w:pPr>
    </w:p>
    <w:p w:rsidR="00AA1599" w:rsidRPr="00177643" w:rsidRDefault="0076088B" w:rsidP="0085267F">
      <w:pPr>
        <w:tabs>
          <w:tab w:val="left" w:pos="2835"/>
        </w:tabs>
        <w:contextualSpacing/>
        <w:jc w:val="both"/>
        <w:rPr>
          <w:rFonts w:eastAsia="Calibri" w:cstheme="minorHAnsi"/>
          <w:sz w:val="24"/>
          <w:szCs w:val="24"/>
          <w:u w:val="single"/>
        </w:rPr>
      </w:pPr>
      <w:bookmarkStart w:id="0" w:name="_GoBack"/>
      <w:r w:rsidRPr="00177643">
        <w:rPr>
          <w:rFonts w:eastAsia="Calibri" w:cstheme="minorHAnsi"/>
          <w:sz w:val="24"/>
          <w:szCs w:val="24"/>
          <w:u w:val="single"/>
        </w:rPr>
        <w:t>Críticas al Fondo de Infraestructura:</w:t>
      </w:r>
    </w:p>
    <w:bookmarkEnd w:id="0"/>
    <w:p w:rsidR="0076088B" w:rsidRPr="00A142D5" w:rsidRDefault="0076088B" w:rsidP="0085267F">
      <w:pPr>
        <w:tabs>
          <w:tab w:val="left" w:pos="2835"/>
        </w:tabs>
        <w:contextualSpacing/>
        <w:jc w:val="both"/>
        <w:rPr>
          <w:rFonts w:eastAsia="Calibri" w:cstheme="minorHAnsi"/>
          <w:sz w:val="24"/>
          <w:szCs w:val="24"/>
        </w:rPr>
      </w:pPr>
    </w:p>
    <w:p w:rsidR="0076088B" w:rsidRPr="00A142D5" w:rsidRDefault="0076088B" w:rsidP="0085267F">
      <w:pPr>
        <w:tabs>
          <w:tab w:val="left" w:pos="2835"/>
        </w:tabs>
        <w:contextualSpacing/>
        <w:jc w:val="both"/>
        <w:rPr>
          <w:rFonts w:eastAsia="Calibri" w:cstheme="minorHAnsi"/>
          <w:sz w:val="24"/>
          <w:szCs w:val="24"/>
        </w:rPr>
      </w:pPr>
      <w:r w:rsidRPr="00A142D5">
        <w:rPr>
          <w:rFonts w:eastAsia="Calibri" w:cstheme="minorHAnsi"/>
          <w:sz w:val="24"/>
          <w:szCs w:val="24"/>
        </w:rPr>
        <w:t xml:space="preserve">En un Estudio encargado a la Biblioteca Nacional del Congreso para analizar la experiencia comparada de este mecanismo, se cita el análisis realizado por el economista Eduardo </w:t>
      </w:r>
      <w:proofErr w:type="spellStart"/>
      <w:r w:rsidRPr="00A142D5">
        <w:rPr>
          <w:rFonts w:eastAsia="Calibri" w:cstheme="minorHAnsi"/>
          <w:sz w:val="24"/>
          <w:szCs w:val="24"/>
        </w:rPr>
        <w:t>Engel</w:t>
      </w:r>
      <w:proofErr w:type="spellEnd"/>
      <w:r w:rsidRPr="00A142D5">
        <w:rPr>
          <w:rFonts w:eastAsia="Calibri" w:cstheme="minorHAnsi"/>
          <w:sz w:val="24"/>
          <w:szCs w:val="24"/>
        </w:rPr>
        <w:t xml:space="preserve"> el mes de mayo de 2016 donde plantea sus críticas a esta iniciativa.</w:t>
      </w:r>
    </w:p>
    <w:p w:rsidR="0076088B" w:rsidRPr="00A142D5" w:rsidRDefault="0076088B" w:rsidP="0085267F">
      <w:pPr>
        <w:tabs>
          <w:tab w:val="left" w:pos="2835"/>
        </w:tabs>
        <w:contextualSpacing/>
        <w:jc w:val="both"/>
        <w:rPr>
          <w:rFonts w:eastAsia="Calibri" w:cstheme="minorHAnsi"/>
          <w:sz w:val="24"/>
          <w:szCs w:val="24"/>
        </w:rPr>
      </w:pPr>
    </w:p>
    <w:p w:rsidR="0076088B" w:rsidRPr="00A142D5" w:rsidRDefault="0076088B" w:rsidP="0085267F">
      <w:pPr>
        <w:tabs>
          <w:tab w:val="left" w:pos="2835"/>
        </w:tabs>
        <w:contextualSpacing/>
        <w:jc w:val="both"/>
        <w:rPr>
          <w:rFonts w:cstheme="minorHAnsi"/>
          <w:sz w:val="24"/>
          <w:szCs w:val="24"/>
        </w:rPr>
      </w:pPr>
      <w:r w:rsidRPr="00A142D5">
        <w:rPr>
          <w:rFonts w:eastAsia="Calibri" w:cstheme="minorHAnsi"/>
          <w:sz w:val="24"/>
          <w:szCs w:val="24"/>
        </w:rPr>
        <w:t>Primeramente, en</w:t>
      </w:r>
      <w:r w:rsidRPr="00A142D5">
        <w:rPr>
          <w:rFonts w:cstheme="minorHAnsi"/>
          <w:sz w:val="24"/>
          <w:szCs w:val="24"/>
        </w:rPr>
        <w:t xml:space="preserve"> el artículo ‘Infraestructura en Chile: Historia de un </w:t>
      </w:r>
      <w:r w:rsidRPr="00A142D5">
        <w:rPr>
          <w:rFonts w:cstheme="minorHAnsi"/>
          <w:sz w:val="24"/>
          <w:szCs w:val="24"/>
        </w:rPr>
        <w:t xml:space="preserve">lobby exitoso’, y citando el documento de BCN, </w:t>
      </w:r>
      <w:r w:rsidRPr="00A142D5">
        <w:rPr>
          <w:rFonts w:cstheme="minorHAnsi"/>
          <w:sz w:val="24"/>
          <w:szCs w:val="24"/>
        </w:rPr>
        <w:t>el autor realiza un descarnado análisis a la falta de planificación y la falta de estimaciones del Estado en el desarrollo de las infraestructuras en una perspectiva de mediano y largo plazo.</w:t>
      </w:r>
    </w:p>
    <w:p w:rsidR="0076088B" w:rsidRPr="00A142D5" w:rsidRDefault="0076088B" w:rsidP="0085267F">
      <w:pPr>
        <w:tabs>
          <w:tab w:val="left" w:pos="2835"/>
        </w:tabs>
        <w:contextualSpacing/>
        <w:jc w:val="both"/>
        <w:rPr>
          <w:rFonts w:cstheme="minorHAnsi"/>
          <w:sz w:val="24"/>
          <w:szCs w:val="24"/>
        </w:rPr>
      </w:pPr>
    </w:p>
    <w:p w:rsidR="0076088B" w:rsidRPr="00A142D5" w:rsidRDefault="0076088B" w:rsidP="0085267F">
      <w:pPr>
        <w:tabs>
          <w:tab w:val="left" w:pos="2835"/>
        </w:tabs>
        <w:contextualSpacing/>
        <w:jc w:val="both"/>
        <w:rPr>
          <w:rFonts w:cstheme="minorHAnsi"/>
          <w:sz w:val="24"/>
          <w:szCs w:val="24"/>
        </w:rPr>
      </w:pPr>
      <w:r w:rsidRPr="00A142D5">
        <w:rPr>
          <w:rFonts w:cstheme="minorHAnsi"/>
          <w:sz w:val="24"/>
          <w:szCs w:val="24"/>
        </w:rPr>
        <w:t xml:space="preserve">Entre las críticas planteadas, </w:t>
      </w:r>
      <w:proofErr w:type="spellStart"/>
      <w:r w:rsidRPr="00A142D5">
        <w:rPr>
          <w:rFonts w:cstheme="minorHAnsi"/>
          <w:sz w:val="24"/>
          <w:szCs w:val="24"/>
        </w:rPr>
        <w:t>Engel</w:t>
      </w:r>
      <w:proofErr w:type="spellEnd"/>
      <w:r w:rsidRPr="00A142D5">
        <w:rPr>
          <w:rFonts w:cstheme="minorHAnsi"/>
          <w:sz w:val="24"/>
          <w:szCs w:val="24"/>
        </w:rPr>
        <w:t xml:space="preserve"> sostiene:</w:t>
      </w:r>
    </w:p>
    <w:p w:rsidR="0076088B" w:rsidRPr="00A142D5" w:rsidRDefault="0076088B" w:rsidP="0085267F">
      <w:pPr>
        <w:tabs>
          <w:tab w:val="left" w:pos="2835"/>
        </w:tabs>
        <w:contextualSpacing/>
        <w:jc w:val="both"/>
        <w:rPr>
          <w:rFonts w:cstheme="minorHAnsi"/>
          <w:sz w:val="24"/>
          <w:szCs w:val="24"/>
        </w:rPr>
      </w:pPr>
    </w:p>
    <w:p w:rsidR="0076088B" w:rsidRPr="00A142D5" w:rsidRDefault="0076088B" w:rsidP="0076088B">
      <w:pPr>
        <w:pStyle w:val="Prrafodelista"/>
        <w:numPr>
          <w:ilvl w:val="0"/>
          <w:numId w:val="6"/>
        </w:numPr>
        <w:tabs>
          <w:tab w:val="left" w:pos="2835"/>
        </w:tabs>
        <w:jc w:val="both"/>
        <w:rPr>
          <w:rFonts w:cstheme="minorHAnsi"/>
          <w:sz w:val="24"/>
          <w:szCs w:val="24"/>
        </w:rPr>
      </w:pPr>
      <w:r w:rsidRPr="00A142D5">
        <w:rPr>
          <w:rFonts w:cstheme="minorHAnsi"/>
          <w:sz w:val="24"/>
          <w:szCs w:val="24"/>
        </w:rPr>
        <w:t xml:space="preserve">El adelantar flujos de caja futuro, simplemente hace adelantar gasto público eludiendo la acción de supervisión del Congreso. </w:t>
      </w:r>
      <w:r w:rsidRPr="00A142D5">
        <w:rPr>
          <w:rFonts w:cstheme="minorHAnsi"/>
          <w:sz w:val="24"/>
          <w:szCs w:val="24"/>
        </w:rPr>
        <w:t>Agrega que</w:t>
      </w:r>
      <w:r w:rsidRPr="00A142D5">
        <w:rPr>
          <w:rFonts w:cstheme="minorHAnsi"/>
          <w:sz w:val="24"/>
          <w:szCs w:val="24"/>
        </w:rPr>
        <w:t xml:space="preserve"> traer a valor presentes gastos que le corresponden a futuros gobiernos no es una buena política de finanzas públicas.</w:t>
      </w:r>
    </w:p>
    <w:p w:rsidR="00A142D5" w:rsidRPr="00A142D5" w:rsidRDefault="00A142D5" w:rsidP="00A142D5">
      <w:pPr>
        <w:pStyle w:val="Prrafodelista"/>
        <w:tabs>
          <w:tab w:val="left" w:pos="2835"/>
        </w:tabs>
        <w:jc w:val="both"/>
        <w:rPr>
          <w:rFonts w:cstheme="minorHAnsi"/>
          <w:sz w:val="24"/>
          <w:szCs w:val="24"/>
        </w:rPr>
      </w:pPr>
    </w:p>
    <w:p w:rsidR="0076088B" w:rsidRPr="00A142D5" w:rsidRDefault="0076088B" w:rsidP="0076088B">
      <w:pPr>
        <w:pStyle w:val="Prrafodelista"/>
        <w:numPr>
          <w:ilvl w:val="0"/>
          <w:numId w:val="6"/>
        </w:numPr>
        <w:tabs>
          <w:tab w:val="left" w:pos="2835"/>
        </w:tabs>
        <w:jc w:val="both"/>
        <w:rPr>
          <w:rFonts w:cstheme="minorHAnsi"/>
          <w:sz w:val="24"/>
          <w:szCs w:val="24"/>
        </w:rPr>
      </w:pPr>
      <w:proofErr w:type="spellStart"/>
      <w:r w:rsidRPr="00A142D5">
        <w:rPr>
          <w:rFonts w:cstheme="minorHAnsi"/>
          <w:sz w:val="24"/>
          <w:szCs w:val="24"/>
        </w:rPr>
        <w:t>Engel</w:t>
      </w:r>
      <w:proofErr w:type="spellEnd"/>
      <w:r w:rsidRPr="00A142D5">
        <w:rPr>
          <w:rFonts w:cstheme="minorHAnsi"/>
          <w:sz w:val="24"/>
          <w:szCs w:val="24"/>
        </w:rPr>
        <w:t xml:space="preserve"> se pregunta si efectivamente el Fondo de Infraestructura puede ser el motor reactivador de la economía y a partir de este, retomar la mayor expansión del crecimiento. </w:t>
      </w:r>
      <w:r w:rsidR="00A142D5" w:rsidRPr="00A142D5">
        <w:rPr>
          <w:rFonts w:cstheme="minorHAnsi"/>
          <w:sz w:val="24"/>
          <w:szCs w:val="24"/>
        </w:rPr>
        <w:t xml:space="preserve">A su juicio, la respuesta para </w:t>
      </w:r>
      <w:r w:rsidRPr="00A142D5">
        <w:rPr>
          <w:rFonts w:cstheme="minorHAnsi"/>
          <w:sz w:val="24"/>
          <w:szCs w:val="24"/>
        </w:rPr>
        <w:t>es ‘no’</w:t>
      </w:r>
      <w:r w:rsidR="00A142D5" w:rsidRPr="00A142D5">
        <w:rPr>
          <w:rFonts w:cstheme="minorHAnsi"/>
          <w:sz w:val="24"/>
          <w:szCs w:val="24"/>
        </w:rPr>
        <w:t xml:space="preserve">, </w:t>
      </w:r>
      <w:r w:rsidRPr="00A142D5">
        <w:rPr>
          <w:rFonts w:cstheme="minorHAnsi"/>
          <w:sz w:val="24"/>
          <w:szCs w:val="24"/>
        </w:rPr>
        <w:t xml:space="preserve">debido a que en promedio la construcción de este tipo de infraestructuras es de cuatro años. De aquí es que </w:t>
      </w:r>
      <w:r w:rsidRPr="00A142D5">
        <w:rPr>
          <w:rFonts w:cstheme="minorHAnsi"/>
          <w:sz w:val="24"/>
          <w:szCs w:val="24"/>
        </w:rPr>
        <w:lastRenderedPageBreak/>
        <w:t>cuesta creer que el Fondo tenga impacto directo en el aumento del e</w:t>
      </w:r>
      <w:r w:rsidR="00A142D5" w:rsidRPr="00A142D5">
        <w:rPr>
          <w:rFonts w:cstheme="minorHAnsi"/>
          <w:sz w:val="24"/>
          <w:szCs w:val="24"/>
        </w:rPr>
        <w:t>mpleo en este o el próximo año.</w:t>
      </w:r>
    </w:p>
    <w:p w:rsidR="0085267F" w:rsidRPr="009E30BF" w:rsidRDefault="0085267F" w:rsidP="009E30BF">
      <w:pPr>
        <w:jc w:val="both"/>
        <w:rPr>
          <w:rFonts w:cs="Arial"/>
        </w:rPr>
      </w:pPr>
    </w:p>
    <w:p w:rsidR="0002532D" w:rsidRDefault="0002532D" w:rsidP="00B20D61">
      <w:pPr>
        <w:tabs>
          <w:tab w:val="left" w:pos="2835"/>
        </w:tabs>
        <w:jc w:val="both"/>
        <w:rPr>
          <w:rFonts w:cs="Arial"/>
          <w:lang w:val="es-ES_tradnl"/>
        </w:rPr>
      </w:pPr>
    </w:p>
    <w:p w:rsidR="00B20D61" w:rsidRPr="00EC038E" w:rsidRDefault="00B20D61" w:rsidP="00B20D61">
      <w:pPr>
        <w:tabs>
          <w:tab w:val="left" w:pos="2835"/>
        </w:tabs>
        <w:jc w:val="both"/>
        <w:rPr>
          <w:rFonts w:cs="Arial"/>
        </w:rPr>
      </w:pPr>
    </w:p>
    <w:p w:rsidR="00B20D61" w:rsidRPr="00B20D61" w:rsidRDefault="00B20D61" w:rsidP="00B20D61">
      <w:pPr>
        <w:rPr>
          <w:lang w:val="es-ES"/>
        </w:rPr>
      </w:pPr>
    </w:p>
    <w:p w:rsidR="00025427" w:rsidRDefault="00025427"/>
    <w:sectPr w:rsidR="0002542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23554"/>
    <w:multiLevelType w:val="hybridMultilevel"/>
    <w:tmpl w:val="D0E0AF6C"/>
    <w:lvl w:ilvl="0" w:tplc="0C405518">
      <w:numFmt w:val="bullet"/>
      <w:lvlText w:val="-"/>
      <w:lvlJc w:val="left"/>
      <w:pPr>
        <w:ind w:left="720" w:hanging="360"/>
      </w:pPr>
      <w:rPr>
        <w:rFonts w:ascii="Calibri" w:eastAsiaTheme="minorHAns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00E1580D"/>
    <w:multiLevelType w:val="hybridMultilevel"/>
    <w:tmpl w:val="4B86A728"/>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2" w15:restartNumberingAfterBreak="0">
    <w:nsid w:val="5188189E"/>
    <w:multiLevelType w:val="hybridMultilevel"/>
    <w:tmpl w:val="416E698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644B6F2D"/>
    <w:multiLevelType w:val="hybridMultilevel"/>
    <w:tmpl w:val="DD20D09A"/>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694F48DE"/>
    <w:multiLevelType w:val="hybridMultilevel"/>
    <w:tmpl w:val="6E367A30"/>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5" w15:restartNumberingAfterBreak="0">
    <w:nsid w:val="69971A94"/>
    <w:multiLevelType w:val="hybridMultilevel"/>
    <w:tmpl w:val="0CA6A0BA"/>
    <w:lvl w:ilvl="0" w:tplc="340A000F">
      <w:start w:val="1"/>
      <w:numFmt w:val="decimal"/>
      <w:lvlText w:val="%1."/>
      <w:lvlJc w:val="left"/>
      <w:pPr>
        <w:ind w:left="720" w:hanging="360"/>
      </w:pPr>
      <w:rPr>
        <w:rFonts w:hint="default"/>
      </w:rPr>
    </w:lvl>
    <w:lvl w:ilvl="1" w:tplc="AD2A93C8">
      <w:numFmt w:val="bullet"/>
      <w:lvlText w:val="-"/>
      <w:lvlJc w:val="left"/>
      <w:pPr>
        <w:ind w:left="1440" w:hanging="360"/>
      </w:pPr>
      <w:rPr>
        <w:rFonts w:ascii="Calibri" w:eastAsiaTheme="minorHAnsi" w:hAnsi="Calibri" w:cs="Calibri"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5"/>
  </w:num>
  <w:num w:numId="2">
    <w:abstractNumId w:val="4"/>
  </w:num>
  <w:num w:numId="3">
    <w:abstractNumId w:val="1"/>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D61"/>
    <w:rsid w:val="0002532D"/>
    <w:rsid w:val="00025427"/>
    <w:rsid w:val="000D61D9"/>
    <w:rsid w:val="000D7877"/>
    <w:rsid w:val="00177643"/>
    <w:rsid w:val="00367517"/>
    <w:rsid w:val="0076088B"/>
    <w:rsid w:val="007746E3"/>
    <w:rsid w:val="0085267F"/>
    <w:rsid w:val="009E30BF"/>
    <w:rsid w:val="00A142D5"/>
    <w:rsid w:val="00AA1599"/>
    <w:rsid w:val="00B20D6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036E04-6AA8-4561-9E4D-236AF19F1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253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180</TotalTime>
  <Pages>5</Pages>
  <Words>1338</Words>
  <Characters>7362</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Alvaro Pillado</dc:creator>
  <cp:keywords/>
  <dc:description/>
  <cp:lastModifiedBy>Alvaro Pillado</cp:lastModifiedBy>
  <cp:revision>1</cp:revision>
  <dcterms:created xsi:type="dcterms:W3CDTF">2017-09-06T14:30:00Z</dcterms:created>
  <dcterms:modified xsi:type="dcterms:W3CDTF">2017-09-06T18:13:00Z</dcterms:modified>
</cp:coreProperties>
</file>