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C89" w:rsidRPr="00737A46" w:rsidRDefault="006E61AF" w:rsidP="006E61AF">
      <w:pPr>
        <w:jc w:val="center"/>
        <w:rPr>
          <w:b/>
          <w:sz w:val="24"/>
          <w:szCs w:val="24"/>
          <w:u w:val="single"/>
        </w:rPr>
      </w:pPr>
      <w:r w:rsidRPr="00737A46">
        <w:rPr>
          <w:b/>
          <w:sz w:val="24"/>
          <w:szCs w:val="24"/>
          <w:u w:val="single"/>
        </w:rPr>
        <w:t xml:space="preserve">Análisis </w:t>
      </w:r>
      <w:r w:rsidR="00CF4A79" w:rsidRPr="00737A46">
        <w:rPr>
          <w:b/>
          <w:sz w:val="24"/>
          <w:szCs w:val="24"/>
          <w:u w:val="single"/>
        </w:rPr>
        <w:t>Presupuesto 2019 Gobiernos Regionales</w:t>
      </w:r>
    </w:p>
    <w:p w:rsidR="006E61AF" w:rsidRPr="006E61AF" w:rsidRDefault="006E61AF" w:rsidP="006E61AF">
      <w:pPr>
        <w:jc w:val="center"/>
        <w:rPr>
          <w:b/>
        </w:rPr>
      </w:pPr>
    </w:p>
    <w:p w:rsidR="00CF4A79" w:rsidRDefault="00812AA9" w:rsidP="00E53897">
      <w:pPr>
        <w:jc w:val="both"/>
      </w:pPr>
      <w:r>
        <w:t xml:space="preserve">I </w:t>
      </w:r>
      <w:r w:rsidR="00D968BF">
        <w:t>El cuadro resu</w:t>
      </w:r>
      <w:r w:rsidR="00CF4A79">
        <w:t xml:space="preserve">men presentado en el folleto que contiene el </w:t>
      </w:r>
      <w:r w:rsidR="00E53897">
        <w:t xml:space="preserve">Proyecto de </w:t>
      </w:r>
      <w:r w:rsidR="00CF4A79">
        <w:t>Presupuesto de los Gobiernos Regionales</w:t>
      </w:r>
      <w:r w:rsidR="00E53897">
        <w:t xml:space="preserve"> para 2019</w:t>
      </w:r>
      <w:r w:rsidR="00CF4A79">
        <w:t>, en lo que se refiere a los Programas 02</w:t>
      </w:r>
      <w:r w:rsidR="00737A46">
        <w:t xml:space="preserve"> </w:t>
      </w:r>
      <w:r w:rsidR="00CF4A79">
        <w:t xml:space="preserve">y 03, </w:t>
      </w:r>
      <w:r w:rsidR="00D968BF">
        <w:t xml:space="preserve">de inversión, </w:t>
      </w:r>
      <w:r w:rsidR="00CF4A79">
        <w:t>presenta los siguientes conceptos de gastos:</w:t>
      </w:r>
    </w:p>
    <w:p w:rsidR="004028FE" w:rsidRPr="004028FE" w:rsidRDefault="004028FE" w:rsidP="00E53897">
      <w:pPr>
        <w:jc w:val="both"/>
        <w:rPr>
          <w:b/>
          <w:u w:val="single"/>
        </w:rPr>
      </w:pPr>
      <w:r>
        <w:tab/>
      </w:r>
      <w:r>
        <w:tab/>
      </w:r>
      <w:r>
        <w:tab/>
      </w:r>
      <w:r>
        <w:tab/>
      </w:r>
      <w:r>
        <w:tab/>
      </w:r>
      <w:r>
        <w:tab/>
      </w:r>
      <w:r>
        <w:tab/>
      </w:r>
      <w:r w:rsidRPr="004028FE">
        <w:rPr>
          <w:b/>
          <w:u w:val="single"/>
        </w:rPr>
        <w:t>Miles de $</w:t>
      </w:r>
    </w:p>
    <w:p w:rsidR="00CF4A79" w:rsidRDefault="00CF4A79" w:rsidP="00E53897">
      <w:pPr>
        <w:tabs>
          <w:tab w:val="right" w:pos="6096"/>
        </w:tabs>
      </w:pPr>
      <w:r w:rsidRPr="00E53897">
        <w:rPr>
          <w:b/>
        </w:rPr>
        <w:t>1</w:t>
      </w:r>
      <w:r w:rsidRPr="00D968BF">
        <w:rPr>
          <w:b/>
          <w:u w:val="single"/>
        </w:rPr>
        <w:t>.- Inversión Regional Distribuida</w:t>
      </w:r>
      <w:r w:rsidR="00402E34">
        <w:rPr>
          <w:b/>
          <w:u w:val="single"/>
        </w:rPr>
        <w:t xml:space="preserve"> (*)</w:t>
      </w:r>
      <w:r w:rsidR="00E53897">
        <w:tab/>
      </w:r>
      <w:r w:rsidR="00E53897" w:rsidRPr="00D968BF">
        <w:rPr>
          <w:b/>
          <w:u w:val="single"/>
        </w:rPr>
        <w:t>1.072.</w:t>
      </w:r>
      <w:r w:rsidR="0053210E">
        <w:rPr>
          <w:b/>
          <w:u w:val="single"/>
        </w:rPr>
        <w:t>384.794</w:t>
      </w:r>
      <w:r w:rsidR="00402E34">
        <w:rPr>
          <w:b/>
          <w:u w:val="single"/>
        </w:rPr>
        <w:t xml:space="preserve"> </w:t>
      </w:r>
    </w:p>
    <w:p w:rsidR="00CF4A79" w:rsidRDefault="00CF4A79" w:rsidP="00E53897">
      <w:pPr>
        <w:tabs>
          <w:tab w:val="left" w:pos="284"/>
          <w:tab w:val="right" w:pos="6096"/>
        </w:tabs>
      </w:pPr>
      <w:r>
        <w:tab/>
        <w:t>1.1 Fondo Nacional de Desarrollo Regional</w:t>
      </w:r>
      <w:r w:rsidR="00E53897">
        <w:tab/>
      </w:r>
      <w:r w:rsidRPr="00CF4A79">
        <w:t>470.086.792</w:t>
      </w:r>
    </w:p>
    <w:p w:rsidR="00CF4A79" w:rsidRDefault="00CF4A79" w:rsidP="00E53897">
      <w:pPr>
        <w:tabs>
          <w:tab w:val="left" w:pos="284"/>
          <w:tab w:val="right" w:pos="6096"/>
        </w:tabs>
      </w:pPr>
      <w:r>
        <w:tab/>
        <w:t>1.2 Ingresos propios y destinados por ley</w:t>
      </w:r>
      <w:r w:rsidR="00E53897">
        <w:tab/>
      </w:r>
      <w:r w:rsidR="0053210E">
        <w:t>602.298.002</w:t>
      </w:r>
    </w:p>
    <w:p w:rsidR="00CF4A79" w:rsidRDefault="00CF4A79" w:rsidP="00CF4A79">
      <w:pPr>
        <w:tabs>
          <w:tab w:val="left" w:pos="284"/>
        </w:tabs>
      </w:pPr>
      <w:r w:rsidRPr="00E53897">
        <w:rPr>
          <w:b/>
        </w:rPr>
        <w:t>2</w:t>
      </w:r>
      <w:r w:rsidRPr="00D968BF">
        <w:rPr>
          <w:b/>
          <w:u w:val="single"/>
        </w:rPr>
        <w:t>.- Provisiones</w:t>
      </w:r>
      <w:r w:rsidR="00E53897">
        <w:tab/>
      </w:r>
      <w:r w:rsidR="00E53897">
        <w:tab/>
      </w:r>
      <w:r w:rsidR="00E53897">
        <w:tab/>
      </w:r>
      <w:r w:rsidR="00E53897">
        <w:tab/>
      </w:r>
      <w:r w:rsidR="00E53897">
        <w:tab/>
      </w:r>
      <w:r w:rsidR="00E53897">
        <w:tab/>
      </w:r>
      <w:r w:rsidR="00E53897" w:rsidRPr="00D968BF">
        <w:rPr>
          <w:b/>
          <w:u w:val="single"/>
        </w:rPr>
        <w:t>202.563.825</w:t>
      </w:r>
      <w:r w:rsidR="00E53897">
        <w:tab/>
      </w:r>
      <w:r w:rsidR="00E53897">
        <w:tab/>
      </w:r>
      <w:r w:rsidR="00E53897">
        <w:tab/>
      </w:r>
    </w:p>
    <w:p w:rsidR="00CF4A79" w:rsidRDefault="00CF4A79" w:rsidP="00E53897">
      <w:pPr>
        <w:tabs>
          <w:tab w:val="left" w:pos="284"/>
          <w:tab w:val="right" w:pos="6096"/>
        </w:tabs>
        <w:rPr>
          <w:b/>
          <w:u w:val="single"/>
        </w:rPr>
      </w:pPr>
      <w:r w:rsidRPr="00D968BF">
        <w:rPr>
          <w:b/>
          <w:u w:val="single"/>
        </w:rPr>
        <w:t>Total</w:t>
      </w:r>
      <w:r w:rsidR="00E53897">
        <w:tab/>
      </w:r>
      <w:r w:rsidR="00E53897" w:rsidRPr="00D968BF">
        <w:rPr>
          <w:b/>
          <w:u w:val="single"/>
        </w:rPr>
        <w:t>1.274.9</w:t>
      </w:r>
      <w:r w:rsidR="0053210E">
        <w:rPr>
          <w:b/>
          <w:u w:val="single"/>
        </w:rPr>
        <w:t>48.619</w:t>
      </w:r>
    </w:p>
    <w:p w:rsidR="00402E34" w:rsidRPr="00402E34" w:rsidRDefault="00402E34" w:rsidP="00BC4039">
      <w:pPr>
        <w:tabs>
          <w:tab w:val="left" w:pos="284"/>
          <w:tab w:val="right" w:pos="6096"/>
        </w:tabs>
        <w:ind w:left="284" w:hanging="284"/>
        <w:jc w:val="both"/>
        <w:rPr>
          <w:b/>
        </w:rPr>
      </w:pPr>
      <w:r w:rsidRPr="00402E34">
        <w:rPr>
          <w:b/>
        </w:rPr>
        <w:t>(*)</w:t>
      </w:r>
      <w:r>
        <w:rPr>
          <w:b/>
        </w:rPr>
        <w:t xml:space="preserve"> Las cifras no c</w:t>
      </w:r>
      <w:r w:rsidR="00BC4039">
        <w:rPr>
          <w:b/>
        </w:rPr>
        <w:t>onsideran la deuda flotante</w:t>
      </w:r>
      <w:r>
        <w:rPr>
          <w:b/>
        </w:rPr>
        <w:t>, que suma $ 17.000 miles, porque no es gasto</w:t>
      </w:r>
      <w:r w:rsidR="00BC4039">
        <w:rPr>
          <w:b/>
        </w:rPr>
        <w:t xml:space="preserve"> 2019</w:t>
      </w:r>
      <w:r>
        <w:rPr>
          <w:b/>
        </w:rPr>
        <w:t>.</w:t>
      </w:r>
    </w:p>
    <w:p w:rsidR="00E53897" w:rsidRPr="00C03D7C" w:rsidRDefault="00E53897" w:rsidP="00402E34">
      <w:pPr>
        <w:tabs>
          <w:tab w:val="left" w:pos="284"/>
          <w:tab w:val="right" w:pos="6096"/>
        </w:tabs>
        <w:jc w:val="both"/>
      </w:pPr>
      <w:r w:rsidRPr="00C03D7C">
        <w:t>No obstante, en la información complementaria</w:t>
      </w:r>
      <w:r w:rsidR="00D968BF">
        <w:t>,</w:t>
      </w:r>
      <w:r w:rsidRPr="00C03D7C">
        <w:t xml:space="preserve"> que la Dirección de Presupuestos envía al Congreso como apoyo para la discusión del Proyecto de Presupuestos, en la página correspondiente a las Líneas Programáticas, se lee lo siguiente</w:t>
      </w:r>
      <w:r w:rsidR="004028FE">
        <w:t xml:space="preserve"> (las cifras en miles de $)</w:t>
      </w:r>
      <w:r w:rsidRPr="00C03D7C">
        <w:t>:</w:t>
      </w:r>
    </w:p>
    <w:p w:rsidR="00737A46" w:rsidRPr="00BC4039" w:rsidRDefault="00BC4039" w:rsidP="00BC4039">
      <w:pPr>
        <w:tabs>
          <w:tab w:val="left" w:pos="284"/>
          <w:tab w:val="right" w:pos="4678"/>
          <w:tab w:val="right" w:pos="6379"/>
          <w:tab w:val="right" w:pos="8364"/>
        </w:tabs>
        <w:spacing w:after="0" w:line="240" w:lineRule="auto"/>
        <w:ind w:right="-234"/>
      </w:pPr>
      <w:r>
        <w:tab/>
      </w:r>
      <w:r>
        <w:tab/>
      </w:r>
      <w:r w:rsidRPr="0032585C">
        <w:rPr>
          <w:b/>
          <w:u w:val="single"/>
        </w:rPr>
        <w:t>Año 2018</w:t>
      </w:r>
      <w:r>
        <w:tab/>
      </w:r>
      <w:r w:rsidRPr="0032585C">
        <w:rPr>
          <w:b/>
          <w:u w:val="single"/>
        </w:rPr>
        <w:t>año 2019</w:t>
      </w:r>
      <w:r>
        <w:tab/>
      </w:r>
      <w:r w:rsidRPr="0032585C">
        <w:rPr>
          <w:b/>
          <w:u w:val="single"/>
        </w:rPr>
        <w:t>variación</w:t>
      </w:r>
      <w:r>
        <w:tab/>
        <w:t xml:space="preserve">  </w:t>
      </w:r>
      <w:r w:rsidRPr="0032585C">
        <w:rPr>
          <w:b/>
          <w:u w:val="single"/>
        </w:rPr>
        <w:t>%</w:t>
      </w:r>
    </w:p>
    <w:p w:rsidR="00E53897" w:rsidRPr="00991B6C" w:rsidRDefault="00E53897" w:rsidP="002F5D24">
      <w:pPr>
        <w:tabs>
          <w:tab w:val="left" w:pos="284"/>
          <w:tab w:val="right" w:pos="4962"/>
          <w:tab w:val="right" w:pos="6663"/>
          <w:tab w:val="right" w:pos="8364"/>
        </w:tabs>
        <w:spacing w:after="0" w:line="240" w:lineRule="auto"/>
        <w:ind w:right="-234"/>
        <w:rPr>
          <w:b/>
        </w:rPr>
      </w:pPr>
      <w:r w:rsidRPr="00991B6C">
        <w:rPr>
          <w:b/>
          <w:u w:val="single"/>
        </w:rPr>
        <w:t>B.</w:t>
      </w:r>
      <w:r w:rsidR="00C03D7C" w:rsidRPr="00991B6C">
        <w:rPr>
          <w:b/>
          <w:u w:val="single"/>
        </w:rPr>
        <w:t xml:space="preserve"> Descentralización</w:t>
      </w:r>
      <w:r w:rsidRPr="00991B6C">
        <w:rPr>
          <w:b/>
        </w:rPr>
        <w:tab/>
        <w:t xml:space="preserve"> </w:t>
      </w:r>
    </w:p>
    <w:p w:rsidR="00737A46" w:rsidRDefault="00737A46" w:rsidP="00737A46">
      <w:pPr>
        <w:tabs>
          <w:tab w:val="left" w:pos="284"/>
          <w:tab w:val="right" w:pos="4962"/>
          <w:tab w:val="right" w:pos="6663"/>
          <w:tab w:val="right" w:pos="8364"/>
        </w:tabs>
        <w:spacing w:after="0" w:line="240" w:lineRule="auto"/>
        <w:ind w:right="-234"/>
        <w:rPr>
          <w:b/>
        </w:rPr>
      </w:pPr>
    </w:p>
    <w:p w:rsidR="00463EBB" w:rsidRPr="00C03D7C" w:rsidRDefault="00463EBB" w:rsidP="002F5D24">
      <w:pPr>
        <w:tabs>
          <w:tab w:val="left" w:pos="284"/>
          <w:tab w:val="right" w:pos="4962"/>
          <w:tab w:val="right" w:pos="6663"/>
          <w:tab w:val="right" w:pos="8080"/>
        </w:tabs>
        <w:spacing w:after="0" w:line="240" w:lineRule="auto"/>
        <w:ind w:right="-234"/>
        <w:rPr>
          <w:b/>
        </w:rPr>
      </w:pPr>
      <w:r w:rsidRPr="00C03D7C">
        <w:rPr>
          <w:b/>
        </w:rPr>
        <w:t xml:space="preserve">1. </w:t>
      </w:r>
      <w:r w:rsidR="00C03D7C" w:rsidRPr="00C03D7C">
        <w:rPr>
          <w:b/>
        </w:rPr>
        <w:t>Inversión Regional</w:t>
      </w:r>
      <w:r w:rsidRPr="00C03D7C">
        <w:rPr>
          <w:b/>
        </w:rPr>
        <w:t xml:space="preserve"> </w:t>
      </w:r>
      <w:r w:rsidRPr="00C03D7C">
        <w:rPr>
          <w:b/>
        </w:rPr>
        <w:tab/>
        <w:t>1.424.828.790</w:t>
      </w:r>
      <w:r w:rsidRPr="00C03D7C">
        <w:rPr>
          <w:b/>
        </w:rPr>
        <w:tab/>
        <w:t xml:space="preserve">1.425.019.407 </w:t>
      </w:r>
      <w:r w:rsidRPr="00C03D7C">
        <w:rPr>
          <w:b/>
        </w:rPr>
        <w:tab/>
        <w:t xml:space="preserve">190.617 </w:t>
      </w:r>
      <w:r w:rsidRPr="00C03D7C">
        <w:rPr>
          <w:b/>
        </w:rPr>
        <w:tab/>
        <w:t>0,0 %</w:t>
      </w:r>
    </w:p>
    <w:p w:rsidR="00463EBB" w:rsidRPr="00C03D7C" w:rsidRDefault="00463EBB" w:rsidP="00C03D7C">
      <w:pPr>
        <w:tabs>
          <w:tab w:val="left" w:pos="284"/>
          <w:tab w:val="right" w:pos="3544"/>
          <w:tab w:val="right" w:pos="5103"/>
          <w:tab w:val="right" w:pos="6521"/>
        </w:tabs>
        <w:spacing w:after="0" w:line="240" w:lineRule="auto"/>
        <w:rPr>
          <w:b/>
        </w:rPr>
      </w:pPr>
      <w:r w:rsidRPr="00C03D7C">
        <w:rPr>
          <w:b/>
        </w:rPr>
        <w:t>1.1 Inversión en Gobiernos Regionales</w:t>
      </w:r>
    </w:p>
    <w:p w:rsidR="00463EBB" w:rsidRDefault="00463EBB" w:rsidP="002F5D24">
      <w:pPr>
        <w:tabs>
          <w:tab w:val="left" w:pos="284"/>
          <w:tab w:val="right" w:pos="4962"/>
          <w:tab w:val="right" w:pos="6663"/>
        </w:tabs>
        <w:spacing w:after="0" w:line="240" w:lineRule="auto"/>
        <w:ind w:right="-376"/>
        <w:rPr>
          <w:b/>
        </w:rPr>
      </w:pPr>
      <w:r w:rsidRPr="00C03D7C">
        <w:rPr>
          <w:b/>
        </w:rPr>
        <w:tab/>
        <w:t xml:space="preserve"> Distribuida </w:t>
      </w:r>
      <w:r w:rsidRPr="00C03D7C">
        <w:rPr>
          <w:b/>
        </w:rPr>
        <w:tab/>
        <w:t>1.046.536.693</w:t>
      </w:r>
      <w:r w:rsidRPr="00C03D7C">
        <w:rPr>
          <w:b/>
        </w:rPr>
        <w:tab/>
        <w:t xml:space="preserve"> 1.072.384.794</w:t>
      </w:r>
      <w:r w:rsidRPr="00C03D7C">
        <w:rPr>
          <w:b/>
        </w:rPr>
        <w:tab/>
        <w:t xml:space="preserve">25.848.101 </w:t>
      </w:r>
      <w:r w:rsidR="00737A46">
        <w:rPr>
          <w:b/>
        </w:rPr>
        <w:t xml:space="preserve"> </w:t>
      </w:r>
      <w:r w:rsidR="002F5D24">
        <w:rPr>
          <w:b/>
        </w:rPr>
        <w:tab/>
      </w:r>
      <w:r w:rsidRPr="00C03D7C">
        <w:rPr>
          <w:b/>
        </w:rPr>
        <w:t>2,5%</w:t>
      </w:r>
    </w:p>
    <w:p w:rsidR="002F5D24" w:rsidRPr="00C03D7C" w:rsidRDefault="002F5D24" w:rsidP="002F5D24">
      <w:pPr>
        <w:tabs>
          <w:tab w:val="left" w:pos="284"/>
          <w:tab w:val="right" w:pos="4962"/>
          <w:tab w:val="right" w:pos="6663"/>
        </w:tabs>
        <w:spacing w:after="0" w:line="240" w:lineRule="auto"/>
        <w:ind w:right="-376"/>
        <w:rPr>
          <w:b/>
        </w:rPr>
      </w:pPr>
    </w:p>
    <w:p w:rsidR="00463EBB" w:rsidRPr="00991B6C" w:rsidRDefault="00463EBB" w:rsidP="002F5D24">
      <w:pPr>
        <w:tabs>
          <w:tab w:val="left" w:pos="284"/>
          <w:tab w:val="right" w:pos="4962"/>
          <w:tab w:val="right" w:pos="6663"/>
          <w:tab w:val="right" w:pos="8080"/>
        </w:tabs>
        <w:spacing w:after="0" w:line="240" w:lineRule="auto"/>
        <w:ind w:right="-234"/>
        <w:rPr>
          <w:b/>
        </w:rPr>
      </w:pPr>
      <w:r w:rsidRPr="00991B6C">
        <w:rPr>
          <w:b/>
        </w:rPr>
        <w:t xml:space="preserve">1.2 Inversión en Provisiones SUBDERE </w:t>
      </w:r>
      <w:r w:rsidR="00C03D7C" w:rsidRPr="00991B6C">
        <w:rPr>
          <w:b/>
        </w:rPr>
        <w:tab/>
        <w:t xml:space="preserve">378.292.097 </w:t>
      </w:r>
      <w:r w:rsidR="00C03D7C" w:rsidRPr="00991B6C">
        <w:rPr>
          <w:b/>
        </w:rPr>
        <w:tab/>
        <w:t xml:space="preserve">352.634.613 </w:t>
      </w:r>
      <w:r w:rsidR="00C03D7C" w:rsidRPr="00991B6C">
        <w:rPr>
          <w:b/>
        </w:rPr>
        <w:tab/>
        <w:t xml:space="preserve">-25.657.484 </w:t>
      </w:r>
      <w:r w:rsidR="00C03D7C" w:rsidRPr="00991B6C">
        <w:rPr>
          <w:b/>
        </w:rPr>
        <w:tab/>
        <w:t>-6,8%</w:t>
      </w:r>
    </w:p>
    <w:p w:rsidR="00C03D7C" w:rsidRDefault="00C03D7C" w:rsidP="00C03D7C">
      <w:pPr>
        <w:tabs>
          <w:tab w:val="left" w:pos="284"/>
          <w:tab w:val="right" w:pos="4678"/>
          <w:tab w:val="right" w:pos="6237"/>
          <w:tab w:val="right" w:pos="7371"/>
        </w:tabs>
        <w:spacing w:after="0" w:line="240" w:lineRule="auto"/>
      </w:pPr>
    </w:p>
    <w:p w:rsidR="00C03D7C" w:rsidRDefault="00C03D7C" w:rsidP="00C03D7C">
      <w:pPr>
        <w:tabs>
          <w:tab w:val="left" w:pos="284"/>
          <w:tab w:val="right" w:pos="4678"/>
          <w:tab w:val="right" w:pos="6237"/>
          <w:tab w:val="right" w:pos="7371"/>
        </w:tabs>
        <w:spacing w:after="0" w:line="240" w:lineRule="auto"/>
      </w:pPr>
    </w:p>
    <w:p w:rsidR="00C03D7C" w:rsidRDefault="003164A0" w:rsidP="00C03D7C">
      <w:pPr>
        <w:tabs>
          <w:tab w:val="left" w:pos="284"/>
          <w:tab w:val="right" w:pos="4678"/>
          <w:tab w:val="right" w:pos="6237"/>
          <w:tab w:val="right" w:pos="7371"/>
        </w:tabs>
        <w:spacing w:line="360" w:lineRule="auto"/>
        <w:jc w:val="both"/>
      </w:pPr>
      <w:r>
        <w:t xml:space="preserve">Es decir, </w:t>
      </w:r>
      <w:r w:rsidR="00C03D7C">
        <w:t>las cifras de l</w:t>
      </w:r>
      <w:r w:rsidR="00D968BF">
        <w:t xml:space="preserve">a inversión regional </w:t>
      </w:r>
      <w:r w:rsidR="00C03D7C">
        <w:t xml:space="preserve"> y la inversión en provisiones </w:t>
      </w:r>
      <w:r>
        <w:t xml:space="preserve">consideradas en </w:t>
      </w:r>
      <w:r w:rsidR="00C03D7C">
        <w:t xml:space="preserve">el folleto </w:t>
      </w:r>
      <w:r>
        <w:t xml:space="preserve">no coinciden con aquellas incluidas en </w:t>
      </w:r>
      <w:r w:rsidR="00C03D7C">
        <w:t xml:space="preserve">la información complementaria </w:t>
      </w:r>
      <w:r>
        <w:t>para los mismos fines</w:t>
      </w:r>
      <w:r w:rsidR="00C03D7C">
        <w:t xml:space="preserve">: en las Líneas Programáticas, la Inversión Regional </w:t>
      </w:r>
      <w:r w:rsidR="00D968BF">
        <w:t>suma $ 1.425.019.407 miles para 2019,</w:t>
      </w:r>
      <w:r w:rsidR="00C03D7C">
        <w:t xml:space="preserve"> sin crecimiento (0,0</w:t>
      </w:r>
      <w:r w:rsidR="004028FE">
        <w:t xml:space="preserve">%), mientras que en el folleto la Inversión Regional del año 2019 es </w:t>
      </w:r>
      <w:r w:rsidR="0053210E">
        <w:t>$1.274.948.619</w:t>
      </w:r>
      <w:r w:rsidR="00D968BF">
        <w:t xml:space="preserve"> miles, cifra </w:t>
      </w:r>
      <w:r w:rsidR="004028FE">
        <w:t>menor en $ 150.070.788 miles</w:t>
      </w:r>
      <w:r w:rsidR="00D968BF">
        <w:t xml:space="preserve">. La diferencia </w:t>
      </w:r>
      <w:r w:rsidR="00BC4039">
        <w:t xml:space="preserve">se produce en las provisiones consultadas en </w:t>
      </w:r>
      <w:r w:rsidR="00F12E5F">
        <w:t>la inversión.</w:t>
      </w:r>
    </w:p>
    <w:p w:rsidR="004028FE" w:rsidRDefault="0032585C" w:rsidP="00C03D7C">
      <w:pPr>
        <w:tabs>
          <w:tab w:val="left" w:pos="284"/>
          <w:tab w:val="right" w:pos="4678"/>
          <w:tab w:val="right" w:pos="6237"/>
          <w:tab w:val="right" w:pos="7371"/>
        </w:tabs>
        <w:spacing w:line="360" w:lineRule="auto"/>
        <w:jc w:val="both"/>
      </w:pPr>
      <w:r>
        <w:lastRenderedPageBreak/>
        <w:t xml:space="preserve">Lo anterior es un </w:t>
      </w:r>
      <w:r w:rsidR="000312A3">
        <w:t xml:space="preserve">error </w:t>
      </w:r>
      <w:r>
        <w:t xml:space="preserve">que </w:t>
      </w:r>
      <w:r w:rsidR="000312A3">
        <w:t xml:space="preserve">se produce porque </w:t>
      </w:r>
      <w:r w:rsidR="00F12E5F">
        <w:t>en el documento líneas programáticas, el gasto correspondiente a transferencias consolidables entre SUBDERE y los Gobiernos Regionales, está contabilizado como gasto en ambas partes, aumentando erróneamente el gasto en el monto correspondiente a dichas transferencias. Lo mismo ocurre con las cifras de  2018.</w:t>
      </w:r>
    </w:p>
    <w:p w:rsidR="00F12E5F" w:rsidRDefault="000312A3" w:rsidP="00C03D7C">
      <w:pPr>
        <w:tabs>
          <w:tab w:val="left" w:pos="284"/>
          <w:tab w:val="right" w:pos="4678"/>
          <w:tab w:val="right" w:pos="6237"/>
          <w:tab w:val="right" w:pos="7371"/>
        </w:tabs>
        <w:spacing w:line="360" w:lineRule="auto"/>
        <w:jc w:val="both"/>
      </w:pPr>
      <w:r>
        <w:t>En síntesis, el</w:t>
      </w:r>
      <w:r w:rsidR="00F12E5F">
        <w:t xml:space="preserve"> gasto de la Inversión Total Regional está abultado en $ 134.801.219 miles en 2018 y en $150.070.788 miles</w:t>
      </w:r>
      <w:r w:rsidR="00812BB6">
        <w:t xml:space="preserve">. Efectuando las correcciones pertinentes, la inversión regional para 2019 </w:t>
      </w:r>
      <w:r>
        <w:t xml:space="preserve">cae en </w:t>
      </w:r>
      <w:r w:rsidRPr="0066217E">
        <w:rPr>
          <w:b/>
        </w:rPr>
        <w:t>1,2 %</w:t>
      </w:r>
      <w:r>
        <w:t xml:space="preserve">,  </w:t>
      </w:r>
      <w:r w:rsidR="00812BB6">
        <w:t xml:space="preserve"> aumentando a </w:t>
      </w:r>
      <w:r w:rsidR="00812BB6" w:rsidRPr="0066217E">
        <w:rPr>
          <w:b/>
        </w:rPr>
        <w:t>16,8</w:t>
      </w:r>
      <w:r w:rsidR="00812BB6">
        <w:t xml:space="preserve"> % la </w:t>
      </w:r>
      <w:r>
        <w:t xml:space="preserve">caída en la </w:t>
      </w:r>
      <w:r w:rsidR="002F5D24">
        <w:t>inversión en provisiones, como se observa en el siguiente cuadro (cifras en miles de $)</w:t>
      </w:r>
    </w:p>
    <w:p w:rsidR="00F92BB7" w:rsidRPr="00BC4039" w:rsidRDefault="00F92BB7" w:rsidP="002F5D24">
      <w:pPr>
        <w:tabs>
          <w:tab w:val="left" w:pos="284"/>
          <w:tab w:val="right" w:pos="4678"/>
          <w:tab w:val="right" w:pos="6379"/>
          <w:tab w:val="right" w:pos="7797"/>
        </w:tabs>
        <w:spacing w:after="0" w:line="240" w:lineRule="auto"/>
        <w:ind w:right="-234"/>
      </w:pPr>
      <w:r>
        <w:tab/>
      </w:r>
      <w:r>
        <w:tab/>
      </w:r>
      <w:r w:rsidRPr="0032585C">
        <w:rPr>
          <w:b/>
          <w:u w:val="single"/>
        </w:rPr>
        <w:t>Año 2018</w:t>
      </w:r>
      <w:r>
        <w:tab/>
      </w:r>
      <w:r w:rsidRPr="0032585C">
        <w:rPr>
          <w:b/>
          <w:u w:val="single"/>
        </w:rPr>
        <w:t>año 2019</w:t>
      </w:r>
      <w:r>
        <w:tab/>
      </w:r>
      <w:r w:rsidRPr="0032585C">
        <w:rPr>
          <w:b/>
          <w:u w:val="single"/>
        </w:rPr>
        <w:t>variación</w:t>
      </w:r>
      <w:r>
        <w:tab/>
        <w:t xml:space="preserve">  </w:t>
      </w:r>
      <w:r w:rsidRPr="0032585C">
        <w:rPr>
          <w:b/>
          <w:u w:val="single"/>
        </w:rPr>
        <w:t>%</w:t>
      </w:r>
    </w:p>
    <w:p w:rsidR="00F92BB7" w:rsidRPr="00991B6C" w:rsidRDefault="00F92BB7" w:rsidP="00F92BB7">
      <w:pPr>
        <w:tabs>
          <w:tab w:val="left" w:pos="284"/>
          <w:tab w:val="right" w:pos="4962"/>
          <w:tab w:val="right" w:pos="6663"/>
          <w:tab w:val="right" w:pos="8364"/>
        </w:tabs>
        <w:spacing w:after="0" w:line="240" w:lineRule="auto"/>
        <w:ind w:right="-234"/>
        <w:rPr>
          <w:b/>
        </w:rPr>
      </w:pPr>
      <w:r w:rsidRPr="00991B6C">
        <w:rPr>
          <w:b/>
          <w:u w:val="single"/>
        </w:rPr>
        <w:t>B. Descentralización</w:t>
      </w:r>
      <w:r w:rsidRPr="00991B6C">
        <w:rPr>
          <w:b/>
        </w:rPr>
        <w:tab/>
        <w:t xml:space="preserve"> </w:t>
      </w:r>
    </w:p>
    <w:p w:rsidR="00F92BB7" w:rsidRDefault="00F92BB7" w:rsidP="00F92BB7">
      <w:pPr>
        <w:tabs>
          <w:tab w:val="left" w:pos="284"/>
          <w:tab w:val="right" w:pos="4962"/>
          <w:tab w:val="right" w:pos="6663"/>
          <w:tab w:val="right" w:pos="8364"/>
        </w:tabs>
        <w:spacing w:after="0" w:line="240" w:lineRule="auto"/>
        <w:ind w:right="-234"/>
        <w:rPr>
          <w:b/>
        </w:rPr>
      </w:pPr>
    </w:p>
    <w:p w:rsidR="00F92BB7" w:rsidRPr="00C03D7C" w:rsidRDefault="00F92BB7" w:rsidP="002F5D24">
      <w:pPr>
        <w:tabs>
          <w:tab w:val="left" w:pos="284"/>
          <w:tab w:val="right" w:pos="4962"/>
          <w:tab w:val="right" w:pos="6663"/>
          <w:tab w:val="right" w:pos="8080"/>
        </w:tabs>
        <w:spacing w:after="0" w:line="240" w:lineRule="auto"/>
        <w:ind w:right="-234"/>
        <w:rPr>
          <w:b/>
        </w:rPr>
      </w:pPr>
      <w:r w:rsidRPr="00C03D7C">
        <w:rPr>
          <w:b/>
        </w:rPr>
        <w:t>1. Inversión Regional</w:t>
      </w:r>
      <w:r>
        <w:rPr>
          <w:b/>
        </w:rPr>
        <w:t xml:space="preserve"> </w:t>
      </w:r>
      <w:r>
        <w:rPr>
          <w:b/>
        </w:rPr>
        <w:tab/>
        <w:t>1.290.027.571</w:t>
      </w:r>
      <w:r>
        <w:rPr>
          <w:b/>
        </w:rPr>
        <w:tab/>
        <w:t xml:space="preserve">1.274.948.619 </w:t>
      </w:r>
      <w:r>
        <w:rPr>
          <w:b/>
        </w:rPr>
        <w:tab/>
        <w:t>-15.078.952</w:t>
      </w:r>
      <w:r w:rsidR="002F5D24">
        <w:rPr>
          <w:b/>
        </w:rPr>
        <w:t xml:space="preserve"> </w:t>
      </w:r>
      <w:r w:rsidR="002F5D24">
        <w:rPr>
          <w:b/>
        </w:rPr>
        <w:tab/>
        <w:t>-1,2</w:t>
      </w:r>
      <w:r w:rsidRPr="00C03D7C">
        <w:rPr>
          <w:b/>
        </w:rPr>
        <w:t xml:space="preserve"> %</w:t>
      </w:r>
    </w:p>
    <w:p w:rsidR="00F92BB7" w:rsidRPr="00C03D7C" w:rsidRDefault="00F92BB7" w:rsidP="00F92BB7">
      <w:pPr>
        <w:tabs>
          <w:tab w:val="left" w:pos="284"/>
          <w:tab w:val="right" w:pos="3544"/>
          <w:tab w:val="right" w:pos="5103"/>
          <w:tab w:val="right" w:pos="6521"/>
        </w:tabs>
        <w:spacing w:after="0" w:line="240" w:lineRule="auto"/>
        <w:rPr>
          <w:b/>
        </w:rPr>
      </w:pPr>
      <w:r w:rsidRPr="00C03D7C">
        <w:rPr>
          <w:b/>
        </w:rPr>
        <w:t>1.1 Inversión en Gobiernos Regionales</w:t>
      </w:r>
    </w:p>
    <w:p w:rsidR="00F92BB7" w:rsidRDefault="00F92BB7" w:rsidP="002F5D24">
      <w:pPr>
        <w:tabs>
          <w:tab w:val="left" w:pos="284"/>
          <w:tab w:val="right" w:pos="4962"/>
          <w:tab w:val="right" w:pos="6663"/>
          <w:tab w:val="right" w:pos="8080"/>
        </w:tabs>
        <w:spacing w:after="0" w:line="240" w:lineRule="auto"/>
        <w:ind w:right="-234"/>
        <w:rPr>
          <w:b/>
        </w:rPr>
      </w:pPr>
      <w:r w:rsidRPr="00C03D7C">
        <w:rPr>
          <w:b/>
        </w:rPr>
        <w:tab/>
        <w:t xml:space="preserve"> Distribuida </w:t>
      </w:r>
      <w:r w:rsidRPr="00C03D7C">
        <w:rPr>
          <w:b/>
        </w:rPr>
        <w:tab/>
        <w:t>1.046.536.693</w:t>
      </w:r>
      <w:r w:rsidRPr="00C03D7C">
        <w:rPr>
          <w:b/>
        </w:rPr>
        <w:tab/>
        <w:t xml:space="preserve"> 1.072.384.794</w:t>
      </w:r>
      <w:r w:rsidRPr="00C03D7C">
        <w:rPr>
          <w:b/>
        </w:rPr>
        <w:tab/>
        <w:t xml:space="preserve">25.848.101 </w:t>
      </w:r>
      <w:r w:rsidR="002F5D24">
        <w:rPr>
          <w:b/>
        </w:rPr>
        <w:tab/>
      </w:r>
      <w:r>
        <w:rPr>
          <w:b/>
        </w:rPr>
        <w:t xml:space="preserve"> </w:t>
      </w:r>
      <w:r w:rsidRPr="00C03D7C">
        <w:rPr>
          <w:b/>
        </w:rPr>
        <w:t>2,5%</w:t>
      </w:r>
    </w:p>
    <w:p w:rsidR="002F5D24" w:rsidRPr="00C03D7C" w:rsidRDefault="002F5D24" w:rsidP="002F5D24">
      <w:pPr>
        <w:tabs>
          <w:tab w:val="left" w:pos="284"/>
          <w:tab w:val="right" w:pos="4962"/>
          <w:tab w:val="right" w:pos="6663"/>
          <w:tab w:val="right" w:pos="8080"/>
        </w:tabs>
        <w:spacing w:after="0" w:line="240" w:lineRule="auto"/>
        <w:ind w:right="-234"/>
        <w:rPr>
          <w:b/>
        </w:rPr>
      </w:pPr>
    </w:p>
    <w:p w:rsidR="00F92BB7" w:rsidRPr="002F5D24" w:rsidRDefault="00F92BB7" w:rsidP="002F5D24">
      <w:pPr>
        <w:tabs>
          <w:tab w:val="left" w:pos="284"/>
          <w:tab w:val="right" w:pos="4962"/>
          <w:tab w:val="right" w:pos="6663"/>
          <w:tab w:val="right" w:pos="8080"/>
        </w:tabs>
        <w:spacing w:after="0" w:line="240" w:lineRule="auto"/>
        <w:ind w:right="-376"/>
        <w:rPr>
          <w:b/>
        </w:rPr>
      </w:pPr>
      <w:r w:rsidRPr="002F5D24">
        <w:rPr>
          <w:b/>
        </w:rPr>
        <w:t xml:space="preserve">1.2 Inversión en Provisiones SUBDERE </w:t>
      </w:r>
      <w:r w:rsidRPr="002F5D24">
        <w:rPr>
          <w:b/>
        </w:rPr>
        <w:tab/>
        <w:t xml:space="preserve">243.490.878 </w:t>
      </w:r>
      <w:r w:rsidRPr="002F5D24">
        <w:rPr>
          <w:b/>
        </w:rPr>
        <w:tab/>
        <w:t>202.563.825</w:t>
      </w:r>
      <w:r w:rsidRPr="002F5D24">
        <w:rPr>
          <w:b/>
        </w:rPr>
        <w:tab/>
        <w:t>-</w:t>
      </w:r>
      <w:r w:rsidR="002F5D24">
        <w:rPr>
          <w:b/>
        </w:rPr>
        <w:t>40.927.053</w:t>
      </w:r>
      <w:r w:rsidRPr="002F5D24">
        <w:rPr>
          <w:b/>
        </w:rPr>
        <w:t xml:space="preserve"> </w:t>
      </w:r>
      <w:r w:rsidRPr="002F5D24">
        <w:rPr>
          <w:b/>
        </w:rPr>
        <w:tab/>
        <w:t>-</w:t>
      </w:r>
      <w:r w:rsidR="002F5D24">
        <w:rPr>
          <w:b/>
        </w:rPr>
        <w:t>1</w:t>
      </w:r>
      <w:r w:rsidRPr="002F5D24">
        <w:rPr>
          <w:b/>
        </w:rPr>
        <w:t>6,8%</w:t>
      </w:r>
    </w:p>
    <w:p w:rsidR="00F92BB7" w:rsidRDefault="00F92BB7" w:rsidP="00C03D7C">
      <w:pPr>
        <w:tabs>
          <w:tab w:val="left" w:pos="284"/>
          <w:tab w:val="right" w:pos="4678"/>
          <w:tab w:val="right" w:pos="6237"/>
          <w:tab w:val="right" w:pos="7371"/>
        </w:tabs>
        <w:spacing w:line="360" w:lineRule="auto"/>
        <w:jc w:val="both"/>
      </w:pPr>
    </w:p>
    <w:p w:rsidR="003164A0" w:rsidRDefault="00812AA9" w:rsidP="00C03D7C">
      <w:pPr>
        <w:tabs>
          <w:tab w:val="left" w:pos="284"/>
          <w:tab w:val="right" w:pos="4678"/>
          <w:tab w:val="right" w:pos="6237"/>
          <w:tab w:val="right" w:pos="7371"/>
        </w:tabs>
        <w:spacing w:line="360" w:lineRule="auto"/>
        <w:jc w:val="both"/>
      </w:pPr>
      <w:r>
        <w:t xml:space="preserve">II </w:t>
      </w:r>
      <w:r w:rsidR="00F2082C">
        <w:t xml:space="preserve">Por otra parte, al construir el cuadro de fuentes y usos del Fondo de Apoyo Regional (FAR), se </w:t>
      </w:r>
      <w:r w:rsidR="003164A0">
        <w:t>observa</w:t>
      </w:r>
      <w:r w:rsidR="00F2082C">
        <w:t xml:space="preserve"> que los fondos traspasados desde el Tesoro hacia la SUBDERE para Provisiones FAR, por un total de $ 41.320.335 miles, fueron incorporados </w:t>
      </w:r>
      <w:r w:rsidR="00FB1C97">
        <w:t xml:space="preserve">en la asignación 33-03-418 Provisión Fondo de Apoyo Regional, en el presupuesto de gastos de </w:t>
      </w:r>
      <w:r w:rsidR="00580122">
        <w:t>la SUBDERE,</w:t>
      </w:r>
      <w:r w:rsidR="00F2082C">
        <w:t xml:space="preserve"> </w:t>
      </w:r>
      <w:r w:rsidR="00FB1C97">
        <w:t xml:space="preserve">con un </w:t>
      </w:r>
      <w:r w:rsidR="003164A0">
        <w:t>monto menor en $20</w:t>
      </w:r>
      <w:r w:rsidR="00FB1C97">
        <w:t xml:space="preserve">.600.000 miles. Estos recursos de la provisión, que normalmente se distribuyen en forma discrecional durante el año al igual que las otras provisiones de la SUBDERE, en esta oportunidad </w:t>
      </w:r>
      <w:r w:rsidR="00F2082C">
        <w:t xml:space="preserve">fueron </w:t>
      </w:r>
      <w:r w:rsidR="000312A3">
        <w:t>asignados</w:t>
      </w:r>
      <w:r w:rsidR="00FB1C97">
        <w:t xml:space="preserve"> directa y discrecionalmente </w:t>
      </w:r>
      <w:r w:rsidR="00F2082C">
        <w:t xml:space="preserve"> a los Gobiernos Regionales</w:t>
      </w:r>
      <w:r w:rsidR="00FB1C97">
        <w:t xml:space="preserve"> en el Presupuesto inicial</w:t>
      </w:r>
      <w:r w:rsidR="00F2082C">
        <w:t xml:space="preserve">, con lo cual la inversión directa de los GORES aparece creciendo en 2,5 %. </w:t>
      </w:r>
    </w:p>
    <w:p w:rsidR="0066217E" w:rsidRDefault="0066217E" w:rsidP="00C03D7C">
      <w:pPr>
        <w:tabs>
          <w:tab w:val="left" w:pos="284"/>
          <w:tab w:val="right" w:pos="4678"/>
          <w:tab w:val="right" w:pos="6237"/>
          <w:tab w:val="right" w:pos="7371"/>
        </w:tabs>
        <w:spacing w:line="360" w:lineRule="auto"/>
        <w:jc w:val="both"/>
      </w:pPr>
      <w:r>
        <w:t xml:space="preserve">Claramente las cifras 2019 utilizadas para comparar con 2018 están incrementadas artificialmente </w:t>
      </w:r>
      <w:r w:rsidR="00FB1C97">
        <w:t>con esta distribución de</w:t>
      </w:r>
      <w:r>
        <w:t xml:space="preserve"> parte de una provisión que normalmente se distribuye durante el año.</w:t>
      </w:r>
      <w:r w:rsidR="00FB1C97">
        <w:t xml:space="preserve"> La discrecionalidad permite además que la inversión distribuida crezca en todas las regiones.</w:t>
      </w:r>
    </w:p>
    <w:p w:rsidR="0066217E" w:rsidRDefault="0066217E" w:rsidP="00C03D7C">
      <w:pPr>
        <w:tabs>
          <w:tab w:val="left" w:pos="284"/>
          <w:tab w:val="right" w:pos="4678"/>
          <w:tab w:val="right" w:pos="6237"/>
          <w:tab w:val="right" w:pos="7371"/>
        </w:tabs>
        <w:spacing w:line="360" w:lineRule="auto"/>
        <w:jc w:val="both"/>
      </w:pPr>
      <w:r>
        <w:t xml:space="preserve">Los recursos para inversión de los Gobiernos Regionales se componen de aquellos distribuidos inicialmente en el proyecto de presupuesto de cada GORE más los recursos que quedan provisionados en la Subsecretaría de Desarrollo Regional, para ser distribuidos durante el año. La </w:t>
      </w:r>
      <w:r>
        <w:lastRenderedPageBreak/>
        <w:t>suma de estos recursos no crece para 2019</w:t>
      </w:r>
      <w:r w:rsidR="00BD7F49">
        <w:t xml:space="preserve">, más aún, al restar la cifra duplicada en las provisiones, el gasto de la inversión regional cae en 1,2 %. </w:t>
      </w:r>
    </w:p>
    <w:p w:rsidR="00812BB6" w:rsidRDefault="00BD7F49" w:rsidP="00C03D7C">
      <w:pPr>
        <w:tabs>
          <w:tab w:val="left" w:pos="284"/>
          <w:tab w:val="right" w:pos="4678"/>
          <w:tab w:val="right" w:pos="6237"/>
          <w:tab w:val="right" w:pos="7371"/>
        </w:tabs>
        <w:spacing w:line="360" w:lineRule="auto"/>
        <w:jc w:val="both"/>
      </w:pPr>
      <w:r>
        <w:t>Por lo tanto, la presentación de la inversión regional distribuida es engañosa para mostrar crecimiento de los fondos de inversión regionales.</w:t>
      </w:r>
    </w:p>
    <w:p w:rsidR="00991B6C" w:rsidRDefault="00BD7F49" w:rsidP="00C03D7C">
      <w:pPr>
        <w:tabs>
          <w:tab w:val="left" w:pos="284"/>
          <w:tab w:val="right" w:pos="4678"/>
          <w:tab w:val="right" w:pos="6237"/>
          <w:tab w:val="right" w:pos="7371"/>
        </w:tabs>
        <w:spacing w:line="360" w:lineRule="auto"/>
        <w:jc w:val="both"/>
      </w:pPr>
      <w:r>
        <w:t xml:space="preserve">La provisión </w:t>
      </w:r>
      <w:r w:rsidR="009371D0">
        <w:t>que se rebajó</w:t>
      </w:r>
      <w:r>
        <w:t xml:space="preserve"> para distribuirla en los Gobiernos Regionales corresponde a la provisión del Subsidio al Transporte Público</w:t>
      </w:r>
      <w:r w:rsidR="00991B6C">
        <w:t>. El problema es que el mecanismo utilizado no es correcto.</w:t>
      </w:r>
    </w:p>
    <w:p w:rsidR="00F2082C" w:rsidRDefault="00991B6C" w:rsidP="00C03D7C">
      <w:pPr>
        <w:tabs>
          <w:tab w:val="left" w:pos="284"/>
          <w:tab w:val="right" w:pos="4678"/>
          <w:tab w:val="right" w:pos="6237"/>
          <w:tab w:val="right" w:pos="7371"/>
        </w:tabs>
        <w:spacing w:line="360" w:lineRule="auto"/>
        <w:jc w:val="both"/>
      </w:pPr>
      <w:r>
        <w:t>En efecto, la distribución a los Gobiernos Regionales se efectúa directamente desde el FAR, que está en Tesoro Público, por lo que cuando los recursos de l</w:t>
      </w:r>
      <w:r w:rsidR="00E9593A">
        <w:t>a provisión</w:t>
      </w:r>
      <w:r w:rsidR="00812AA9">
        <w:t xml:space="preserve">, </w:t>
      </w:r>
      <w:r w:rsidR="00812AA9" w:rsidRPr="00BF1D38">
        <w:rPr>
          <w:color w:val="000000" w:themeColor="text1"/>
        </w:rPr>
        <w:t>durante el año</w:t>
      </w:r>
      <w:r w:rsidR="00812AA9">
        <w:t>,</w:t>
      </w:r>
      <w:r w:rsidR="00E9593A">
        <w:t xml:space="preserve"> se distribuyen a los</w:t>
      </w:r>
      <w:r>
        <w:t xml:space="preserve"> Gobiernos Regionales, primero se</w:t>
      </w:r>
      <w:r w:rsidR="00812AA9">
        <w:t xml:space="preserve"> </w:t>
      </w:r>
      <w:r w:rsidR="00812AA9" w:rsidRPr="00166ACD">
        <w:rPr>
          <w:color w:val="000000" w:themeColor="text1"/>
        </w:rPr>
        <w:t>debe</w:t>
      </w:r>
      <w:r>
        <w:t xml:space="preserve"> modifica</w:t>
      </w:r>
      <w:r w:rsidR="00812AA9" w:rsidRPr="00812AA9">
        <w:rPr>
          <w:color w:val="FF0000"/>
        </w:rPr>
        <w:t>r</w:t>
      </w:r>
      <w:r>
        <w:t xml:space="preserve"> el programa FAR en el Tesoro, rebajando la transferencia a la provisión e incrementando la transferencia a los Gobiernos Regionales y luego se modifica </w:t>
      </w:r>
      <w:r w:rsidR="00E9593A">
        <w:t>el presupuesto de la SUBDERE reduciendo el ingreso por la menor transferencia desde el FAR y la provisión en el mismo monto</w:t>
      </w:r>
      <w:r w:rsidR="00812AA9">
        <w:t xml:space="preserve">; </w:t>
      </w:r>
      <w:bookmarkStart w:id="0" w:name="_GoBack"/>
      <w:r w:rsidR="00812AA9" w:rsidRPr="00166ACD">
        <w:rPr>
          <w:color w:val="000000" w:themeColor="text1"/>
        </w:rPr>
        <w:t>afectando</w:t>
      </w:r>
      <w:bookmarkEnd w:id="0"/>
      <w:r w:rsidR="00E9593A">
        <w:t xml:space="preserve"> finalmente los presupuestos de ingresos y gastos de los GORES de acuerdo con los nuevos recursos.</w:t>
      </w:r>
      <w:r w:rsidR="00BD7F49">
        <w:t xml:space="preserve"> </w:t>
      </w:r>
    </w:p>
    <w:p w:rsidR="00E9593A" w:rsidRDefault="00E9593A" w:rsidP="00C03D7C">
      <w:pPr>
        <w:tabs>
          <w:tab w:val="left" w:pos="284"/>
          <w:tab w:val="right" w:pos="4678"/>
          <w:tab w:val="right" w:pos="6237"/>
          <w:tab w:val="right" w:pos="7371"/>
        </w:tabs>
        <w:spacing w:line="360" w:lineRule="auto"/>
        <w:jc w:val="both"/>
      </w:pPr>
      <w:r>
        <w:t>Lo anterior no se hizo, por lo que podría haber un problema legal.</w:t>
      </w:r>
    </w:p>
    <w:p w:rsidR="00075C1E" w:rsidRDefault="003A7D36" w:rsidP="00C03D7C">
      <w:pPr>
        <w:tabs>
          <w:tab w:val="left" w:pos="284"/>
          <w:tab w:val="right" w:pos="4678"/>
          <w:tab w:val="right" w:pos="6237"/>
          <w:tab w:val="right" w:pos="7371"/>
        </w:tabs>
        <w:spacing w:line="360" w:lineRule="auto"/>
        <w:jc w:val="both"/>
      </w:pPr>
      <w:r>
        <w:t>Si se hace el ejercicio de acuerdo a lo realizado en años anteriores, la inversión re</w:t>
      </w:r>
      <w:r w:rsidR="009371D0">
        <w:t>gional distribuida caería en 0,3</w:t>
      </w:r>
      <w:r>
        <w:t xml:space="preserve"> % en lugar del crecimiento señalado, y la inversión total cae en 1,2 % como se señaló anteriormente.</w:t>
      </w:r>
      <w:r w:rsidR="00075C1E">
        <w:t xml:space="preserve"> </w:t>
      </w:r>
    </w:p>
    <w:p w:rsidR="0032585C" w:rsidRDefault="00BD7F49" w:rsidP="00402E34">
      <w:pPr>
        <w:tabs>
          <w:tab w:val="left" w:pos="284"/>
          <w:tab w:val="right" w:pos="4678"/>
          <w:tab w:val="right" w:pos="6237"/>
          <w:tab w:val="right" w:pos="7371"/>
        </w:tabs>
        <w:spacing w:line="360" w:lineRule="auto"/>
        <w:jc w:val="both"/>
      </w:pPr>
      <w:r>
        <w:t>Lo anterior se muestra en cuadro anexo, comparando Ley Inicial 2018 con Proyecto 2019, con y sin los recursos distribuidos de la Provisión en la SUBDERE.</w:t>
      </w:r>
      <w:r w:rsidR="00402E34">
        <w:t xml:space="preserve"> Al utilizar ley inicial 2018, los porcentajes son distintos, ya que con seguridad para 2018 se utilizó la ley rebajada.</w:t>
      </w:r>
    </w:p>
    <w:p w:rsidR="00BD7F49" w:rsidRDefault="00BD7F49" w:rsidP="00402E34">
      <w:pPr>
        <w:tabs>
          <w:tab w:val="left" w:pos="284"/>
          <w:tab w:val="right" w:pos="4678"/>
          <w:tab w:val="right" w:pos="6237"/>
          <w:tab w:val="right" w:pos="7371"/>
        </w:tabs>
        <w:spacing w:line="360" w:lineRule="auto"/>
        <w:jc w:val="both"/>
      </w:pPr>
    </w:p>
    <w:p w:rsidR="0032585C" w:rsidRDefault="0032585C" w:rsidP="00402E34">
      <w:pPr>
        <w:tabs>
          <w:tab w:val="left" w:pos="284"/>
          <w:tab w:val="right" w:pos="4678"/>
          <w:tab w:val="right" w:pos="6237"/>
          <w:tab w:val="right" w:pos="7371"/>
        </w:tabs>
        <w:spacing w:line="360" w:lineRule="auto"/>
        <w:jc w:val="both"/>
      </w:pPr>
    </w:p>
    <w:bookmarkStart w:id="1" w:name="_MON_1601113943"/>
    <w:bookmarkEnd w:id="1"/>
    <w:p w:rsidR="00BD7F49" w:rsidRDefault="009371D0" w:rsidP="00C03D7C">
      <w:pPr>
        <w:tabs>
          <w:tab w:val="left" w:pos="284"/>
          <w:tab w:val="right" w:pos="4678"/>
          <w:tab w:val="right" w:pos="6237"/>
          <w:tab w:val="right" w:pos="7371"/>
        </w:tabs>
        <w:spacing w:line="360" w:lineRule="auto"/>
        <w:jc w:val="both"/>
      </w:pPr>
      <w:r>
        <w:object w:dxaOrig="13559" w:dyaOrig="7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271.5pt" o:ole="">
            <v:imagedata r:id="rId6" o:title=""/>
          </v:shape>
          <o:OLEObject Type="Embed" ProgID="Excel.Sheet.12" ShapeID="_x0000_i1025" DrawAspect="Content" ObjectID="_1602494823" r:id="rId7"/>
        </w:object>
      </w:r>
    </w:p>
    <w:sectPr w:rsidR="00BD7F49" w:rsidSect="006D3C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F4A79"/>
    <w:rsid w:val="000312A3"/>
    <w:rsid w:val="00075C1E"/>
    <w:rsid w:val="00103D13"/>
    <w:rsid w:val="00166ACD"/>
    <w:rsid w:val="002F5D24"/>
    <w:rsid w:val="003164A0"/>
    <w:rsid w:val="0032585C"/>
    <w:rsid w:val="003A7D36"/>
    <w:rsid w:val="004028FE"/>
    <w:rsid w:val="00402E34"/>
    <w:rsid w:val="00463EBB"/>
    <w:rsid w:val="0053210E"/>
    <w:rsid w:val="00580122"/>
    <w:rsid w:val="0066217E"/>
    <w:rsid w:val="006D3C89"/>
    <w:rsid w:val="006E61AF"/>
    <w:rsid w:val="00737A46"/>
    <w:rsid w:val="00812AA9"/>
    <w:rsid w:val="00812BB6"/>
    <w:rsid w:val="00845FCB"/>
    <w:rsid w:val="009371D0"/>
    <w:rsid w:val="00991B6C"/>
    <w:rsid w:val="00BC4039"/>
    <w:rsid w:val="00BD7F49"/>
    <w:rsid w:val="00BF1D38"/>
    <w:rsid w:val="00C03D7C"/>
    <w:rsid w:val="00CF4A79"/>
    <w:rsid w:val="00D968BF"/>
    <w:rsid w:val="00E53897"/>
    <w:rsid w:val="00E9593A"/>
    <w:rsid w:val="00EB457A"/>
    <w:rsid w:val="00F12E5F"/>
    <w:rsid w:val="00F2082C"/>
    <w:rsid w:val="00F92BB7"/>
    <w:rsid w:val="00FB1C9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C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96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Excel_Worksheet1.xlsx"/><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FA8E9-2356-43F0-AA03-529507EF4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878</Words>
  <Characters>4831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Hache Zeta</dc:creator>
  <cp:lastModifiedBy>Sergio</cp:lastModifiedBy>
  <cp:revision>3</cp:revision>
  <dcterms:created xsi:type="dcterms:W3CDTF">2018-10-30T20:35:00Z</dcterms:created>
  <dcterms:modified xsi:type="dcterms:W3CDTF">2018-10-31T15:41:00Z</dcterms:modified>
</cp:coreProperties>
</file>