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A07000" w:rsidRDefault="00A07000" w:rsidP="00A07000">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B12E50" w:rsidRPr="00B12E50" w:rsidRDefault="00A07000" w:rsidP="00B12E50">
      <w:pPr>
        <w:tabs>
          <w:tab w:val="left" w:pos="1276"/>
          <w:tab w:val="left" w:pos="2835"/>
        </w:tabs>
        <w:jc w:val="center"/>
        <w:rPr>
          <w:rFonts w:ascii="Arial" w:hAnsi="Arial" w:cs="Arial"/>
          <w:b/>
          <w:caps/>
          <w:sz w:val="24"/>
          <w:szCs w:val="24"/>
          <w:u w:val="single"/>
        </w:rPr>
      </w:pPr>
      <w:r w:rsidRPr="009D0BB7">
        <w:rPr>
          <w:rFonts w:ascii="Arial" w:hAnsi="Arial" w:cs="Arial"/>
          <w:b/>
          <w:caps/>
          <w:sz w:val="24"/>
          <w:szCs w:val="24"/>
          <w:u w:val="single"/>
        </w:rPr>
        <w:t xml:space="preserve">Proyecto de ley </w:t>
      </w:r>
      <w:r w:rsidR="00B12E50" w:rsidRPr="009D0BB7">
        <w:rPr>
          <w:rFonts w:ascii="Arial" w:hAnsi="Arial" w:cs="Arial"/>
          <w:b/>
          <w:caps/>
          <w:sz w:val="24"/>
          <w:szCs w:val="24"/>
          <w:u w:val="single"/>
        </w:rPr>
        <w:t>QUE FORTALECE</w:t>
      </w:r>
      <w:r w:rsidR="00B12E50" w:rsidRPr="00B12E50">
        <w:rPr>
          <w:rFonts w:ascii="Arial" w:hAnsi="Arial" w:cs="Arial"/>
          <w:b/>
          <w:caps/>
          <w:sz w:val="24"/>
          <w:szCs w:val="24"/>
          <w:u w:val="single"/>
        </w:rPr>
        <w:t xml:space="preserve"> LA INTEGRIDAD PÚBLICA.</w:t>
      </w:r>
    </w:p>
    <w:p w:rsidR="00A07000" w:rsidRDefault="00A07000" w:rsidP="00B90AB9">
      <w:pPr>
        <w:tabs>
          <w:tab w:val="left" w:pos="2835"/>
        </w:tabs>
        <w:spacing w:before="240"/>
        <w:jc w:val="center"/>
        <w:rPr>
          <w:rFonts w:ascii="Arial" w:hAnsi="Arial" w:cs="Arial"/>
          <w:b/>
          <w:caps/>
          <w:sz w:val="24"/>
          <w:szCs w:val="24"/>
          <w:u w:val="single"/>
        </w:rPr>
      </w:pPr>
      <w:r>
        <w:rPr>
          <w:rFonts w:ascii="Arial" w:hAnsi="Arial" w:cs="Arial"/>
          <w:b/>
          <w:caps/>
          <w:sz w:val="24"/>
          <w:szCs w:val="24"/>
          <w:u w:val="single"/>
        </w:rPr>
        <w:t xml:space="preserve">boletín </w:t>
      </w:r>
      <w:r w:rsidR="00A2699E" w:rsidRPr="00A2699E">
        <w:rPr>
          <w:rFonts w:ascii="Arial" w:hAnsi="Arial" w:cs="Arial"/>
          <w:b/>
          <w:caps/>
          <w:sz w:val="24"/>
          <w:szCs w:val="24"/>
          <w:u w:val="single"/>
        </w:rPr>
        <w:t>Nº11.883-06</w:t>
      </w:r>
    </w:p>
    <w:p w:rsidR="00B12E50" w:rsidRPr="00BC246A" w:rsidRDefault="00B12E50" w:rsidP="00B12E50">
      <w:pPr>
        <w:tabs>
          <w:tab w:val="left" w:pos="2835"/>
        </w:tabs>
        <w:spacing w:after="0" w:line="240" w:lineRule="auto"/>
        <w:jc w:val="center"/>
        <w:rPr>
          <w:rFonts w:ascii="Arial" w:hAnsi="Arial" w:cs="Arial"/>
          <w:b/>
          <w:caps/>
          <w:sz w:val="24"/>
          <w:szCs w:val="24"/>
          <w:u w:val="single"/>
        </w:rPr>
      </w:pPr>
    </w:p>
    <w:p w:rsidR="00A07000" w:rsidRPr="003B3E3E" w:rsidRDefault="00A07000" w:rsidP="00A07000">
      <w:pPr>
        <w:tabs>
          <w:tab w:val="left" w:pos="0"/>
          <w:tab w:val="left" w:pos="2835"/>
        </w:tabs>
        <w:jc w:val="both"/>
        <w:rPr>
          <w:rFonts w:ascii="Arial" w:hAnsi="Arial" w:cs="Arial"/>
          <w:sz w:val="24"/>
          <w:szCs w:val="24"/>
        </w:rPr>
      </w:pPr>
      <w:r w:rsidRPr="009D0BB7">
        <w:rPr>
          <w:rFonts w:ascii="Arial" w:eastAsia="Calibri" w:hAnsi="Arial" w:cs="Arial"/>
          <w:b/>
          <w:sz w:val="24"/>
          <w:szCs w:val="24"/>
          <w:u w:val="single"/>
        </w:rPr>
        <w:t>ORÍGEN DE LA INICIATIVA</w:t>
      </w:r>
      <w:r w:rsidRPr="001D2133">
        <w:rPr>
          <w:rFonts w:eastAsia="Calibri" w:cs="Arial"/>
          <w:b/>
          <w:szCs w:val="24"/>
        </w:rPr>
        <w:t>:</w:t>
      </w:r>
      <w:r w:rsidRPr="001D2133">
        <w:rPr>
          <w:rFonts w:eastAsia="Calibri" w:cs="Arial"/>
          <w:szCs w:val="24"/>
        </w:rPr>
        <w:t xml:space="preserve"> </w:t>
      </w:r>
      <w:r w:rsidRPr="003B3E3E">
        <w:rPr>
          <w:rFonts w:ascii="Arial" w:hAnsi="Arial" w:cs="Arial"/>
          <w:sz w:val="24"/>
          <w:szCs w:val="24"/>
        </w:rPr>
        <w:t>M</w:t>
      </w:r>
      <w:r w:rsidR="00B90AB9">
        <w:rPr>
          <w:rFonts w:ascii="Arial" w:hAnsi="Arial" w:cs="Arial"/>
          <w:sz w:val="24"/>
          <w:szCs w:val="24"/>
        </w:rPr>
        <w:t>ensaje presidencial de Sebastián Piñera</w:t>
      </w:r>
      <w:r w:rsidRPr="003B3E3E">
        <w:rPr>
          <w:rFonts w:ascii="Arial" w:hAnsi="Arial" w:cs="Arial"/>
          <w:sz w:val="24"/>
          <w:szCs w:val="24"/>
        </w:rPr>
        <w:t xml:space="preserve">. </w:t>
      </w:r>
    </w:p>
    <w:p w:rsidR="00306BDF" w:rsidRPr="00306BDF" w:rsidRDefault="00A07000" w:rsidP="00306BDF">
      <w:pPr>
        <w:tabs>
          <w:tab w:val="left" w:pos="2835"/>
        </w:tabs>
        <w:jc w:val="both"/>
        <w:rPr>
          <w:rFonts w:ascii="Arial" w:hAnsi="Arial" w:cs="Arial"/>
          <w:sz w:val="24"/>
          <w:szCs w:val="24"/>
        </w:rPr>
      </w:pPr>
      <w:r w:rsidRPr="00BC246A">
        <w:rPr>
          <w:rFonts w:ascii="Arial" w:eastAsia="Calibri" w:hAnsi="Arial" w:cs="Arial"/>
          <w:b/>
          <w:sz w:val="24"/>
          <w:szCs w:val="24"/>
          <w:u w:val="single"/>
        </w:rPr>
        <w:t>NORMAS DE QUÓRUM ESPECIAL</w:t>
      </w:r>
      <w:r w:rsidR="00306BDF">
        <w:rPr>
          <w:rFonts w:ascii="Arial" w:eastAsia="Calibri" w:hAnsi="Arial" w:cs="Arial"/>
          <w:b/>
          <w:sz w:val="24"/>
          <w:szCs w:val="24"/>
          <w:u w:val="single"/>
        </w:rPr>
        <w:t>:</w:t>
      </w:r>
      <w:r w:rsidRPr="00BC246A">
        <w:rPr>
          <w:rFonts w:ascii="Arial" w:hAnsi="Arial" w:cs="Arial"/>
          <w:sz w:val="24"/>
          <w:szCs w:val="24"/>
        </w:rPr>
        <w:t xml:space="preserve"> </w:t>
      </w:r>
      <w:r w:rsidR="00306BDF" w:rsidRPr="00306BDF">
        <w:rPr>
          <w:rFonts w:ascii="Arial" w:hAnsi="Arial" w:cs="Arial"/>
          <w:sz w:val="24"/>
          <w:szCs w:val="24"/>
        </w:rPr>
        <w:t>El artículo 1° permanente en sus numerales 1), 3), 4), 6), 7), 8), 9) y 10) letra d), tienen el carácter de normas de rango orgánico constitucional en virtud de lo dispuesto en los artículos 38, 98 y 99 de la Constitución Política de la República, en relación con el artículo 66, inciso segundo, de la misma Carta Fundamental.</w:t>
      </w:r>
    </w:p>
    <w:p w:rsidR="00306BDF" w:rsidRPr="00306BDF" w:rsidRDefault="00306BDF" w:rsidP="00306BDF">
      <w:pPr>
        <w:tabs>
          <w:tab w:val="left" w:pos="2835"/>
        </w:tabs>
        <w:jc w:val="both"/>
        <w:rPr>
          <w:rFonts w:ascii="Arial" w:hAnsi="Arial" w:cs="Arial"/>
          <w:sz w:val="24"/>
          <w:szCs w:val="24"/>
        </w:rPr>
      </w:pPr>
      <w:r w:rsidRPr="00306BDF">
        <w:rPr>
          <w:rFonts w:ascii="Arial" w:hAnsi="Arial" w:cs="Arial"/>
          <w:sz w:val="24"/>
          <w:szCs w:val="24"/>
        </w:rPr>
        <w:t>El artículo 2° permanente en sus numerales 2) y 3) tiene el carácter de norma de rango orgánico constitucional, en virtud de lo dispuesto en el artículo 38 de la Constitución Política de la República, en relación con el artículo 66, inciso segundo, de la misma Carta Fundamental.</w:t>
      </w:r>
    </w:p>
    <w:p w:rsidR="00306BDF" w:rsidRPr="00306BDF" w:rsidRDefault="00306BDF" w:rsidP="00306BDF">
      <w:pPr>
        <w:tabs>
          <w:tab w:val="left" w:pos="2835"/>
        </w:tabs>
        <w:jc w:val="both"/>
        <w:rPr>
          <w:rFonts w:ascii="Arial" w:hAnsi="Arial" w:cs="Arial"/>
          <w:sz w:val="24"/>
          <w:szCs w:val="24"/>
        </w:rPr>
      </w:pPr>
      <w:r w:rsidRPr="00306BDF">
        <w:rPr>
          <w:rFonts w:ascii="Arial" w:hAnsi="Arial" w:cs="Arial"/>
          <w:sz w:val="24"/>
          <w:szCs w:val="24"/>
        </w:rPr>
        <w:t>El artículo 3° permanente en sus dos numerales, tiene el carácter de norma de rango orgánico constitucional, en virtud de lo dispuesto en los artículos 98 y 99 de la Constitución Política de la República, en relación con el artículo 66, inciso segundo, de la misma Carta Fundamental.</w:t>
      </w:r>
    </w:p>
    <w:p w:rsidR="00306BDF" w:rsidRPr="00306BDF" w:rsidRDefault="00306BDF" w:rsidP="00306BDF">
      <w:pPr>
        <w:tabs>
          <w:tab w:val="left" w:pos="2835"/>
        </w:tabs>
        <w:jc w:val="both"/>
        <w:rPr>
          <w:rFonts w:ascii="Arial" w:hAnsi="Arial" w:cs="Arial"/>
          <w:sz w:val="24"/>
          <w:szCs w:val="24"/>
        </w:rPr>
      </w:pPr>
      <w:r w:rsidRPr="00306BDF">
        <w:rPr>
          <w:rFonts w:ascii="Arial" w:hAnsi="Arial" w:cs="Arial"/>
          <w:sz w:val="24"/>
          <w:szCs w:val="24"/>
        </w:rPr>
        <w:t>El artículo 4° permanente tiene el carácter de norma de rango orgánico constitucional, en virtud de lo dispuesto en el artículo 38 de la Constitución Política de la República, en relación con el artículo 66, inciso segundo, de la misma Carta Fundamental.</w:t>
      </w:r>
    </w:p>
    <w:p w:rsidR="00306BDF" w:rsidRPr="00306BDF" w:rsidRDefault="00306BDF" w:rsidP="00306BDF">
      <w:pPr>
        <w:tabs>
          <w:tab w:val="left" w:pos="2835"/>
        </w:tabs>
        <w:jc w:val="both"/>
        <w:rPr>
          <w:rFonts w:ascii="Arial" w:hAnsi="Arial" w:cs="Arial"/>
          <w:sz w:val="24"/>
          <w:szCs w:val="24"/>
        </w:rPr>
      </w:pPr>
      <w:r w:rsidRPr="00306BDF">
        <w:rPr>
          <w:rFonts w:ascii="Arial" w:hAnsi="Arial" w:cs="Arial"/>
          <w:sz w:val="24"/>
          <w:szCs w:val="24"/>
        </w:rPr>
        <w:t>El artículo 5° permanente en sus numerales 1) y 2) tiene el carácter de norma de rango orgánico constitucional, en virtud de lo dispuesto en el artículo 38 de la Constitución Política de la República, en relación con el artículo 66, inciso segundo, de la misma Carta Fundamental.</w:t>
      </w:r>
    </w:p>
    <w:p w:rsidR="00306BDF" w:rsidRPr="00306BDF" w:rsidRDefault="00306BDF" w:rsidP="00306BDF">
      <w:pPr>
        <w:tabs>
          <w:tab w:val="left" w:pos="2835"/>
        </w:tabs>
        <w:jc w:val="both"/>
        <w:rPr>
          <w:rFonts w:ascii="Arial" w:hAnsi="Arial" w:cs="Arial"/>
          <w:sz w:val="24"/>
          <w:szCs w:val="24"/>
        </w:rPr>
      </w:pPr>
      <w:r w:rsidRPr="00306BDF">
        <w:rPr>
          <w:rFonts w:ascii="Arial" w:hAnsi="Arial" w:cs="Arial"/>
          <w:sz w:val="24"/>
          <w:szCs w:val="24"/>
        </w:rPr>
        <w:t>El artículo 6° permanente en todos sus numerales tiene el carácter de norma de rango orgánico constitucional, en virtud de lo dispuesto en el artículo 55 de la Constitución Política de la República, en relación con el artículo 66, inciso segundo, de la misma Carta Fundamental.</w:t>
      </w:r>
    </w:p>
    <w:p w:rsidR="00306BDF" w:rsidRPr="00306BDF" w:rsidRDefault="00306BDF" w:rsidP="00306BDF">
      <w:pPr>
        <w:tabs>
          <w:tab w:val="left" w:pos="2835"/>
        </w:tabs>
        <w:jc w:val="both"/>
        <w:rPr>
          <w:rFonts w:ascii="Arial" w:hAnsi="Arial" w:cs="Arial"/>
          <w:sz w:val="24"/>
          <w:szCs w:val="24"/>
        </w:rPr>
      </w:pPr>
      <w:r w:rsidRPr="00306BDF">
        <w:rPr>
          <w:rFonts w:ascii="Arial" w:hAnsi="Arial" w:cs="Arial"/>
          <w:sz w:val="24"/>
          <w:szCs w:val="24"/>
        </w:rPr>
        <w:t>El artículo 7° permanente en sus dos numerales tiene el carácter de norma de rango orgánico constitucional, en virtud de lo dispuesto en el artículo 8° inciso tercero de la Constitución Política de la República, en relación con el artículo 66, inciso segundo, de la misma Carta Fundamental.</w:t>
      </w:r>
    </w:p>
    <w:p w:rsidR="00306BDF" w:rsidRPr="00306BDF" w:rsidRDefault="00306BDF" w:rsidP="00306BDF">
      <w:pPr>
        <w:tabs>
          <w:tab w:val="left" w:pos="2835"/>
        </w:tabs>
        <w:jc w:val="both"/>
        <w:rPr>
          <w:rFonts w:ascii="Arial" w:hAnsi="Arial" w:cs="Arial"/>
          <w:sz w:val="24"/>
          <w:szCs w:val="24"/>
        </w:rPr>
      </w:pPr>
      <w:r w:rsidRPr="00306BDF">
        <w:rPr>
          <w:rFonts w:ascii="Arial" w:hAnsi="Arial" w:cs="Arial"/>
          <w:sz w:val="24"/>
          <w:szCs w:val="24"/>
        </w:rPr>
        <w:lastRenderedPageBreak/>
        <w:t>Las disposiciones transitorias tercera y cuarta, tienen el carácter de normas de rango orgánico constitucional, en virtud de lo dispuesto en el artículo 38 de la Constitución Política de la República, en relación con el artículo 66, inciso segundo, de la misma Carta Fundamental.</w:t>
      </w:r>
    </w:p>
    <w:p w:rsidR="00A07000" w:rsidRPr="001D2133" w:rsidRDefault="00A07000" w:rsidP="00A07000">
      <w:pPr>
        <w:spacing w:line="276"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sidR="00306BDF">
        <w:rPr>
          <w:rFonts w:ascii="Arial" w:hAnsi="Arial" w:cs="Arial"/>
          <w:sz w:val="24"/>
          <w:szCs w:val="24"/>
        </w:rPr>
        <w:t>Primer</w:t>
      </w:r>
      <w:r>
        <w:rPr>
          <w:rFonts w:ascii="Arial" w:hAnsi="Arial" w:cs="Arial"/>
          <w:sz w:val="24"/>
          <w:szCs w:val="24"/>
        </w:rPr>
        <w:t xml:space="preserve"> Trámite Constitucional. Con informe de </w:t>
      </w:r>
      <w:r w:rsidRPr="00BC246A">
        <w:rPr>
          <w:rFonts w:ascii="Arial" w:hAnsi="Arial" w:cs="Arial"/>
          <w:sz w:val="24"/>
          <w:szCs w:val="24"/>
        </w:rPr>
        <w:t>La Comisión</w:t>
      </w:r>
      <w:r>
        <w:rPr>
          <w:rFonts w:ascii="Arial" w:hAnsi="Arial" w:cs="Arial"/>
          <w:sz w:val="24"/>
          <w:szCs w:val="24"/>
        </w:rPr>
        <w:t xml:space="preserve"> de </w:t>
      </w:r>
      <w:r w:rsidR="00306BDF">
        <w:rPr>
          <w:rFonts w:ascii="Arial" w:hAnsi="Arial" w:cs="Arial"/>
          <w:sz w:val="24"/>
          <w:szCs w:val="24"/>
        </w:rPr>
        <w:t>Gobierno Interior</w:t>
      </w:r>
      <w:r w:rsidR="00B90AB9">
        <w:rPr>
          <w:rFonts w:ascii="Arial" w:hAnsi="Arial" w:cs="Arial"/>
          <w:sz w:val="24"/>
          <w:szCs w:val="24"/>
        </w:rPr>
        <w:t>, D</w:t>
      </w:r>
      <w:r w:rsidR="00B90AB9" w:rsidRPr="00B90AB9">
        <w:rPr>
          <w:rFonts w:ascii="Arial" w:hAnsi="Arial" w:cs="Arial"/>
          <w:sz w:val="24"/>
          <w:szCs w:val="24"/>
        </w:rPr>
        <w:t xml:space="preserve">escentralización y </w:t>
      </w:r>
      <w:r w:rsidR="00B90AB9">
        <w:rPr>
          <w:rFonts w:ascii="Arial" w:hAnsi="Arial" w:cs="Arial"/>
          <w:sz w:val="24"/>
          <w:szCs w:val="24"/>
        </w:rPr>
        <w:t>R</w:t>
      </w:r>
      <w:r w:rsidR="00B90AB9" w:rsidRPr="00B90AB9">
        <w:rPr>
          <w:rFonts w:ascii="Arial" w:hAnsi="Arial" w:cs="Arial"/>
          <w:sz w:val="24"/>
          <w:szCs w:val="24"/>
        </w:rPr>
        <w:t>egionalización</w:t>
      </w:r>
      <w:r w:rsidR="00B90AB9">
        <w:rPr>
          <w:rFonts w:ascii="Arial" w:hAnsi="Arial" w:cs="Arial"/>
          <w:sz w:val="24"/>
          <w:szCs w:val="24"/>
        </w:rPr>
        <w:t>.</w:t>
      </w:r>
      <w:r>
        <w:rPr>
          <w:rFonts w:ascii="Arial" w:hAnsi="Arial" w:cs="Arial"/>
          <w:sz w:val="24"/>
          <w:szCs w:val="24"/>
        </w:rPr>
        <w:t xml:space="preserve">  </w:t>
      </w:r>
      <w:r w:rsidRPr="00BC246A">
        <w:rPr>
          <w:rFonts w:ascii="Arial" w:hAnsi="Arial" w:cs="Arial"/>
          <w:sz w:val="24"/>
          <w:szCs w:val="24"/>
        </w:rPr>
        <w:t xml:space="preserve"> </w:t>
      </w:r>
    </w:p>
    <w:p w:rsidR="00A07000" w:rsidRDefault="00A07000" w:rsidP="00A07000">
      <w:pPr>
        <w:spacing w:line="276" w:lineRule="auto"/>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w:t>
      </w:r>
      <w:r w:rsidR="00B90AB9">
        <w:rPr>
          <w:rFonts w:ascii="Arial" w:hAnsi="Arial" w:cs="Arial"/>
          <w:sz w:val="24"/>
          <w:szCs w:val="24"/>
        </w:rPr>
        <w:t>Simple</w:t>
      </w:r>
    </w:p>
    <w:p w:rsidR="00B90AB9" w:rsidRDefault="00A07000" w:rsidP="00A07000">
      <w:pPr>
        <w:tabs>
          <w:tab w:val="left" w:pos="2835"/>
          <w:tab w:val="center" w:pos="4252"/>
          <w:tab w:val="right" w:pos="8504"/>
        </w:tabs>
        <w:jc w:val="both"/>
        <w:rPr>
          <w:rFonts w:ascii="Arial" w:hAnsi="Arial" w:cs="Arial"/>
          <w:sz w:val="24"/>
          <w:szCs w:val="24"/>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 xml:space="preserve">: </w:t>
      </w:r>
      <w:r w:rsidRPr="009D0BB7">
        <w:rPr>
          <w:rFonts w:ascii="Arial" w:hAnsi="Arial" w:cs="Arial"/>
          <w:sz w:val="24"/>
          <w:szCs w:val="24"/>
        </w:rPr>
        <w:t>Aprobado en general</w:t>
      </w:r>
      <w:r>
        <w:rPr>
          <w:rFonts w:ascii="Arial" w:hAnsi="Arial" w:cs="Arial"/>
          <w:sz w:val="24"/>
          <w:szCs w:val="24"/>
        </w:rPr>
        <w:t xml:space="preserve"> </w:t>
      </w:r>
      <w:r w:rsidRPr="009D0BB7">
        <w:rPr>
          <w:rFonts w:ascii="Arial" w:hAnsi="Arial" w:cs="Arial"/>
          <w:sz w:val="24"/>
          <w:szCs w:val="24"/>
        </w:rPr>
        <w:t xml:space="preserve">por la unanimidad de los Senadores </w:t>
      </w:r>
      <w:r>
        <w:rPr>
          <w:rFonts w:ascii="Arial" w:hAnsi="Arial" w:cs="Arial"/>
          <w:sz w:val="24"/>
          <w:szCs w:val="24"/>
        </w:rPr>
        <w:t xml:space="preserve">de la </w:t>
      </w:r>
      <w:r w:rsidRPr="00BC246A">
        <w:rPr>
          <w:rFonts w:ascii="Arial" w:hAnsi="Arial" w:cs="Arial"/>
          <w:sz w:val="24"/>
          <w:szCs w:val="24"/>
        </w:rPr>
        <w:t>Comisión</w:t>
      </w:r>
      <w:r>
        <w:rPr>
          <w:rFonts w:ascii="Arial" w:hAnsi="Arial" w:cs="Arial"/>
          <w:sz w:val="24"/>
          <w:szCs w:val="24"/>
        </w:rPr>
        <w:t xml:space="preserve"> de </w:t>
      </w:r>
      <w:r w:rsidR="00B90AB9">
        <w:rPr>
          <w:rFonts w:ascii="Arial" w:hAnsi="Arial" w:cs="Arial"/>
          <w:sz w:val="24"/>
          <w:szCs w:val="24"/>
        </w:rPr>
        <w:t>Gobierno Interior, D</w:t>
      </w:r>
      <w:r w:rsidR="00B90AB9" w:rsidRPr="00B90AB9">
        <w:rPr>
          <w:rFonts w:ascii="Arial" w:hAnsi="Arial" w:cs="Arial"/>
          <w:sz w:val="24"/>
          <w:szCs w:val="24"/>
        </w:rPr>
        <w:t xml:space="preserve">escentralización y </w:t>
      </w:r>
      <w:r w:rsidR="00B90AB9">
        <w:rPr>
          <w:rFonts w:ascii="Arial" w:hAnsi="Arial" w:cs="Arial"/>
          <w:sz w:val="24"/>
          <w:szCs w:val="24"/>
        </w:rPr>
        <w:t>R</w:t>
      </w:r>
      <w:r w:rsidR="00B90AB9" w:rsidRPr="00B90AB9">
        <w:rPr>
          <w:rFonts w:ascii="Arial" w:hAnsi="Arial" w:cs="Arial"/>
          <w:sz w:val="24"/>
          <w:szCs w:val="24"/>
        </w:rPr>
        <w:t>egionalización</w:t>
      </w:r>
      <w:r w:rsidR="00B90AB9">
        <w:rPr>
          <w:rFonts w:ascii="Arial" w:hAnsi="Arial" w:cs="Arial"/>
          <w:sz w:val="24"/>
          <w:szCs w:val="24"/>
        </w:rPr>
        <w:t xml:space="preserve"> (5x0)</w:t>
      </w:r>
      <w:r>
        <w:rPr>
          <w:rFonts w:ascii="Arial" w:hAnsi="Arial" w:cs="Arial"/>
          <w:sz w:val="24"/>
          <w:szCs w:val="24"/>
        </w:rPr>
        <w:t xml:space="preserve">. </w:t>
      </w:r>
    </w:p>
    <w:p w:rsidR="00A07000" w:rsidRPr="00F54EF2" w:rsidRDefault="00A07000" w:rsidP="00A07000">
      <w:pPr>
        <w:spacing w:line="276" w:lineRule="auto"/>
        <w:jc w:val="both"/>
        <w:rPr>
          <w:rFonts w:ascii="Arial" w:hAnsi="Arial" w:cs="Arial"/>
          <w:b/>
          <w:sz w:val="24"/>
          <w:szCs w:val="24"/>
        </w:rPr>
      </w:pPr>
      <w:r w:rsidRPr="00F54EF2">
        <w:rPr>
          <w:rFonts w:ascii="Arial" w:hAnsi="Arial" w:cs="Arial"/>
          <w:b/>
          <w:sz w:val="24"/>
          <w:szCs w:val="24"/>
        </w:rPr>
        <w:t>El Proyecto</w:t>
      </w:r>
    </w:p>
    <w:p w:rsidR="00A07000" w:rsidRPr="00A01F16" w:rsidRDefault="00A07000" w:rsidP="00A07000">
      <w:pPr>
        <w:tabs>
          <w:tab w:val="left" w:pos="851"/>
        </w:tabs>
        <w:spacing w:line="240" w:lineRule="auto"/>
        <w:jc w:val="both"/>
        <w:rPr>
          <w:rFonts w:ascii="Arial" w:hAnsi="Arial" w:cs="Arial"/>
          <w:sz w:val="24"/>
          <w:szCs w:val="24"/>
        </w:rPr>
      </w:pPr>
      <w:r w:rsidRPr="000F3816">
        <w:rPr>
          <w:rFonts w:ascii="Arial" w:hAnsi="Arial" w:cs="Arial"/>
          <w:sz w:val="24"/>
          <w:szCs w:val="24"/>
        </w:rPr>
        <w:t>Este proyecto busca</w:t>
      </w:r>
      <w:r w:rsidRPr="00A01F16">
        <w:rPr>
          <w:rFonts w:ascii="Arial" w:hAnsi="Arial" w:cs="Arial"/>
          <w:sz w:val="24"/>
          <w:szCs w:val="24"/>
        </w:rPr>
        <w:t xml:space="preserve"> </w:t>
      </w:r>
      <w:r w:rsidR="00B90AB9">
        <w:rPr>
          <w:rFonts w:ascii="Arial" w:hAnsi="Arial" w:cs="Arial"/>
          <w:sz w:val="24"/>
          <w:szCs w:val="24"/>
        </w:rPr>
        <w:t>f</w:t>
      </w:r>
      <w:r w:rsidR="00B90AB9" w:rsidRPr="00B90AB9">
        <w:rPr>
          <w:rFonts w:ascii="Arial" w:hAnsi="Arial" w:cs="Arial"/>
          <w:sz w:val="24"/>
          <w:szCs w:val="24"/>
        </w:rPr>
        <w:t>ortalecer la integridad pública en diversos órganos del Estado</w:t>
      </w:r>
      <w:r w:rsidRPr="00A01F16">
        <w:rPr>
          <w:rFonts w:ascii="Arial" w:hAnsi="Arial" w:cs="Arial"/>
          <w:sz w:val="24"/>
          <w:szCs w:val="24"/>
        </w:rPr>
        <w:t xml:space="preserve">. </w:t>
      </w:r>
    </w:p>
    <w:p w:rsidR="00A07000" w:rsidRPr="00F54EF2" w:rsidRDefault="00A07000" w:rsidP="00A07000">
      <w:pPr>
        <w:tabs>
          <w:tab w:val="left" w:pos="2835"/>
        </w:tabs>
        <w:jc w:val="both"/>
        <w:rPr>
          <w:rFonts w:ascii="Arial" w:hAnsi="Arial" w:cs="Arial"/>
          <w:b/>
          <w:sz w:val="24"/>
          <w:szCs w:val="24"/>
        </w:rPr>
      </w:pPr>
      <w:r w:rsidRPr="00F54EF2">
        <w:rPr>
          <w:rFonts w:ascii="Arial" w:hAnsi="Arial" w:cs="Arial"/>
          <w:b/>
          <w:sz w:val="24"/>
          <w:szCs w:val="24"/>
        </w:rPr>
        <w:t>Implicaturas</w:t>
      </w:r>
    </w:p>
    <w:p w:rsidR="00B12E50" w:rsidRDefault="00B90AB9" w:rsidP="00A07000">
      <w:pPr>
        <w:tabs>
          <w:tab w:val="left" w:pos="2835"/>
        </w:tabs>
        <w:jc w:val="both"/>
        <w:rPr>
          <w:rFonts w:ascii="Arial" w:hAnsi="Arial" w:cs="Arial"/>
          <w:sz w:val="24"/>
          <w:szCs w:val="24"/>
        </w:rPr>
      </w:pPr>
      <w:r>
        <w:rPr>
          <w:rFonts w:ascii="Arial" w:hAnsi="Arial" w:cs="Arial"/>
          <w:sz w:val="24"/>
          <w:szCs w:val="24"/>
        </w:rPr>
        <w:t xml:space="preserve">Este proyecto </w:t>
      </w:r>
      <w:r w:rsidRPr="00B90AB9">
        <w:rPr>
          <w:rFonts w:ascii="Arial" w:hAnsi="Arial" w:cs="Arial"/>
          <w:sz w:val="24"/>
          <w:szCs w:val="24"/>
        </w:rPr>
        <w:t>consta de ocho artículos permanentes y cuatro disposiciones transitorias.</w:t>
      </w:r>
      <w:r>
        <w:rPr>
          <w:rFonts w:ascii="Arial" w:hAnsi="Arial" w:cs="Arial"/>
          <w:sz w:val="24"/>
          <w:szCs w:val="24"/>
        </w:rPr>
        <w:t xml:space="preserve"> En donde se establece una serie de ajustes en siete cuerpos legales, los que buscan en su conjunto establecer una serie de nuevas inhabilidades, incompatibilidades, regulaciones y perfeccionamientos todos orientados a buscar una mejora en la capa</w:t>
      </w:r>
      <w:r w:rsidR="00B12E50">
        <w:rPr>
          <w:rFonts w:ascii="Arial" w:hAnsi="Arial" w:cs="Arial"/>
          <w:sz w:val="24"/>
          <w:szCs w:val="24"/>
        </w:rPr>
        <w:t>cidad de control y trasparencia en varios aspectos de la Administración del Estado.</w:t>
      </w:r>
    </w:p>
    <w:p w:rsidR="00B90AB9" w:rsidRDefault="00B12E50" w:rsidP="00A07000">
      <w:pPr>
        <w:tabs>
          <w:tab w:val="left" w:pos="2835"/>
        </w:tabs>
        <w:jc w:val="both"/>
        <w:rPr>
          <w:rFonts w:ascii="Arial" w:hAnsi="Arial" w:cs="Arial"/>
          <w:sz w:val="24"/>
          <w:szCs w:val="24"/>
        </w:rPr>
      </w:pPr>
      <w:r>
        <w:rPr>
          <w:rFonts w:ascii="Arial" w:hAnsi="Arial" w:cs="Arial"/>
          <w:sz w:val="24"/>
          <w:szCs w:val="24"/>
        </w:rPr>
        <w:t>Según consta en el informe, los principales aspectos a tratar son los siguientes:</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 xml:space="preserve">a) Perfeccionamiento de las normas de ingreso a desempeñar funciones en la Administración del Estado; </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 xml:space="preserve">b) Inhabilidades e incompatibilidades en el ejercicio de la función pública, agregándose dos nuevas: los </w:t>
      </w:r>
      <w:proofErr w:type="spellStart"/>
      <w:r w:rsidRPr="00B90AB9">
        <w:rPr>
          <w:rFonts w:ascii="Arial" w:hAnsi="Arial" w:cs="Arial"/>
          <w:sz w:val="24"/>
          <w:szCs w:val="24"/>
        </w:rPr>
        <w:t>lobbistas</w:t>
      </w:r>
      <w:proofErr w:type="spellEnd"/>
      <w:r w:rsidRPr="00B90AB9">
        <w:rPr>
          <w:rFonts w:ascii="Arial" w:hAnsi="Arial" w:cs="Arial"/>
          <w:sz w:val="24"/>
          <w:szCs w:val="24"/>
        </w:rPr>
        <w:t xml:space="preserve"> que hubieran realizado lobby ante el ente al cual pretenden incorporarse dentro de los doce meses anteriores, quienes no podrán ingresar a trabajar en dicho organismo en calidad de Ministro, Subsecretario o Jefe de Servicio, según corresponda; y se impide ingresar a la Administración del Estado a personas que han sido sancionadas por infracción a las normas sobre conflictos de intereses </w:t>
      </w:r>
      <w:proofErr w:type="spellStart"/>
      <w:r w:rsidRPr="00B90AB9">
        <w:rPr>
          <w:rFonts w:ascii="Arial" w:hAnsi="Arial" w:cs="Arial"/>
          <w:sz w:val="24"/>
          <w:szCs w:val="24"/>
        </w:rPr>
        <w:t>post-empleo</w:t>
      </w:r>
      <w:proofErr w:type="spellEnd"/>
      <w:r w:rsidRPr="00B90AB9">
        <w:rPr>
          <w:rFonts w:ascii="Arial" w:hAnsi="Arial" w:cs="Arial"/>
          <w:sz w:val="24"/>
          <w:szCs w:val="24"/>
        </w:rPr>
        <w:t>, dentro de los cinco años anteriores a su nombramiento.</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 xml:space="preserve"> c) Incompatibilidades en la ley de Organización y Atribuciones de la Contraloría General de la República.</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d) Inhabilidades en la ley de Compras Públicas.</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e) Deberes de abstención en la ley orgánica constitucional de Bases Generales de la Administración del Estado.</w:t>
      </w:r>
    </w:p>
    <w:p w:rsidR="00B90AB9" w:rsidRPr="00B90AB9" w:rsidRDefault="00B90AB9" w:rsidP="00B90AB9">
      <w:pPr>
        <w:tabs>
          <w:tab w:val="left" w:pos="2835"/>
        </w:tabs>
        <w:jc w:val="both"/>
        <w:rPr>
          <w:rFonts w:ascii="Arial" w:hAnsi="Arial" w:cs="Arial"/>
          <w:sz w:val="24"/>
          <w:szCs w:val="24"/>
        </w:rPr>
      </w:pP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lastRenderedPageBreak/>
        <w:t>f) Regulación del tránsito entre el sector público y el sector privado.</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Enseguida recalca que la iniciativa aborda también los conflictos de intereses que pueden tener diputados y senadores en el ejercicio de la función parlamentaria, para lo cual propone modificaciones en las siguientes áreas:</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a. Perfeccionamiento de la inhabilitación en caso de conflicto de intereses.</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b. Inhabilidades para desempeñar funciones en el Senado, la Cámara de Diputados, la Biblioteca del Congreso Nacional o en cualquier servicio común.</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c. El correcto uso de las asignaciones parlamentarias.</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d. Regulación del ejercicio de la labor parlamentaria y del tránsito entre el sector público y el sector privado de los parlamentarios.</w:t>
      </w:r>
    </w:p>
    <w:p w:rsidR="00B90AB9" w:rsidRPr="00B90AB9" w:rsidRDefault="00B90AB9" w:rsidP="00B90AB9">
      <w:pPr>
        <w:tabs>
          <w:tab w:val="left" w:pos="2835"/>
        </w:tabs>
        <w:jc w:val="both"/>
        <w:rPr>
          <w:rFonts w:ascii="Arial" w:hAnsi="Arial" w:cs="Arial"/>
          <w:sz w:val="24"/>
          <w:szCs w:val="24"/>
        </w:rPr>
      </w:pPr>
      <w:r w:rsidRPr="00B90AB9">
        <w:rPr>
          <w:rFonts w:ascii="Arial" w:hAnsi="Arial" w:cs="Arial"/>
          <w:sz w:val="24"/>
          <w:szCs w:val="24"/>
        </w:rPr>
        <w:t>Finalmente, resalta que se proponen modificaciones a la ley de probidad en la función pública y prevención de conflictos de intereses respecto de ciertos parientes de algunos de los sujetos obligados a realizar declaraciones de intereses y de patrimonio, en cuanto a incorporar el deber de informar la institución y cargo, en caso de desempeñar funciones en algún órgano del Estado.</w:t>
      </w:r>
    </w:p>
    <w:p w:rsidR="00A07000" w:rsidRPr="00F54EF2" w:rsidRDefault="00A07000" w:rsidP="00A07000">
      <w:pPr>
        <w:spacing w:line="276" w:lineRule="auto"/>
        <w:jc w:val="both"/>
        <w:rPr>
          <w:rFonts w:ascii="Arial" w:hAnsi="Arial" w:cs="Arial"/>
          <w:b/>
          <w:sz w:val="24"/>
          <w:szCs w:val="24"/>
        </w:rPr>
      </w:pPr>
      <w:r>
        <w:rPr>
          <w:rFonts w:ascii="Arial" w:hAnsi="Arial" w:cs="Arial"/>
          <w:b/>
          <w:sz w:val="24"/>
          <w:szCs w:val="24"/>
        </w:rPr>
        <w:t>C</w:t>
      </w:r>
      <w:r w:rsidRPr="00F54EF2">
        <w:rPr>
          <w:rFonts w:ascii="Arial" w:hAnsi="Arial" w:cs="Arial"/>
          <w:b/>
          <w:sz w:val="24"/>
          <w:szCs w:val="24"/>
        </w:rPr>
        <w:t>onclusiones</w:t>
      </w:r>
    </w:p>
    <w:p w:rsidR="00857BD5" w:rsidRDefault="00A07000" w:rsidP="006C0308">
      <w:pPr>
        <w:pStyle w:val="personal"/>
        <w:tabs>
          <w:tab w:val="left" w:pos="2835"/>
        </w:tabs>
        <w:suppressAutoHyphens/>
        <w:spacing w:after="240" w:line="276" w:lineRule="auto"/>
        <w:rPr>
          <w:rFonts w:cs="Arial"/>
          <w:szCs w:val="24"/>
          <w:lang w:val="es-419"/>
        </w:rPr>
      </w:pPr>
      <w:r>
        <w:rPr>
          <w:rFonts w:cs="Arial"/>
          <w:spacing w:val="0"/>
          <w:kern w:val="16"/>
          <w:szCs w:val="24"/>
        </w:rPr>
        <w:t xml:space="preserve">La propuesta y finalidad del proyecto es positiva </w:t>
      </w:r>
      <w:r w:rsidR="00F109A5">
        <w:rPr>
          <w:rFonts w:cs="Arial"/>
          <w:spacing w:val="0"/>
          <w:kern w:val="16"/>
          <w:szCs w:val="24"/>
        </w:rPr>
        <w:t xml:space="preserve">al robustecer </w:t>
      </w:r>
      <w:r w:rsidR="00857BD5">
        <w:rPr>
          <w:rFonts w:cs="Arial"/>
          <w:spacing w:val="0"/>
          <w:kern w:val="16"/>
          <w:szCs w:val="24"/>
        </w:rPr>
        <w:t xml:space="preserve">varios cuerpos legales de la estructura de la Administración del Estado. Dentro de los cuales destacan los límites a la incorporación en parientes de altas autoridades del Estado tales como </w:t>
      </w:r>
      <w:r w:rsidR="00857BD5">
        <w:rPr>
          <w:rFonts w:cs="Arial"/>
          <w:szCs w:val="24"/>
          <w:lang w:val="es-419"/>
        </w:rPr>
        <w:t>ministros, Subsecretarios, diputados, senadores, gobernador regional, jefe</w:t>
      </w:r>
      <w:r w:rsidR="00857BD5">
        <w:rPr>
          <w:rFonts w:cs="Arial"/>
          <w:szCs w:val="24"/>
          <w:lang w:val="es-419"/>
        </w:rPr>
        <w:t>s de servicio hasta del</w:t>
      </w:r>
      <w:r w:rsidR="00857BD5">
        <w:rPr>
          <w:rFonts w:cs="Arial"/>
          <w:szCs w:val="24"/>
          <w:lang w:val="es-419"/>
        </w:rPr>
        <w:t xml:space="preserve"> </w:t>
      </w:r>
      <w:r w:rsidR="00857BD5">
        <w:rPr>
          <w:rFonts w:cs="Arial"/>
          <w:szCs w:val="24"/>
          <w:lang w:val="es-419"/>
        </w:rPr>
        <w:t>tercer nivel</w:t>
      </w:r>
      <w:r w:rsidR="00857BD5">
        <w:rPr>
          <w:rFonts w:cs="Arial"/>
          <w:szCs w:val="24"/>
          <w:lang w:val="es-419"/>
        </w:rPr>
        <w:t xml:space="preserve"> grado</w:t>
      </w:r>
      <w:r w:rsidR="00857BD5">
        <w:rPr>
          <w:rFonts w:cs="Arial"/>
          <w:szCs w:val="24"/>
          <w:lang w:val="es-419"/>
        </w:rPr>
        <w:t xml:space="preserve"> jerárquico</w:t>
      </w:r>
      <w:r w:rsidR="00857BD5">
        <w:rPr>
          <w:rFonts w:cs="Arial"/>
          <w:szCs w:val="24"/>
          <w:lang w:val="es-419"/>
        </w:rPr>
        <w:t>.</w:t>
      </w:r>
    </w:p>
    <w:p w:rsidR="00857BD5" w:rsidRDefault="00857BD5" w:rsidP="00857BD5">
      <w:pPr>
        <w:jc w:val="both"/>
        <w:rPr>
          <w:rFonts w:ascii="Arial" w:hAnsi="Arial" w:cs="Arial"/>
          <w:sz w:val="24"/>
          <w:szCs w:val="24"/>
          <w:lang w:val="es-419"/>
        </w:rPr>
      </w:pPr>
      <w:r w:rsidRPr="00857BD5">
        <w:rPr>
          <w:rFonts w:ascii="Arial" w:hAnsi="Arial" w:cs="Arial"/>
          <w:sz w:val="24"/>
          <w:szCs w:val="24"/>
          <w:lang w:val="es-419"/>
        </w:rPr>
        <w:t>Todo lo anterior quedaría supeditado a la elaboración de</w:t>
      </w:r>
      <w:r>
        <w:rPr>
          <w:rFonts w:ascii="Arial" w:hAnsi="Arial" w:cs="Arial"/>
          <w:sz w:val="24"/>
          <w:szCs w:val="24"/>
          <w:lang w:val="es-419"/>
        </w:rPr>
        <w:t xml:space="preserve"> un</w:t>
      </w:r>
      <w:r w:rsidRPr="00857BD5">
        <w:rPr>
          <w:rFonts w:ascii="Arial" w:hAnsi="Arial" w:cs="Arial"/>
          <w:sz w:val="24"/>
          <w:szCs w:val="24"/>
          <w:lang w:val="es-419"/>
        </w:rPr>
        <w:t xml:space="preserve"> informe emanado del servicio civil el cual, según el mismo servicio, tendr</w:t>
      </w:r>
      <w:r>
        <w:rPr>
          <w:rFonts w:ascii="Arial" w:hAnsi="Arial" w:cs="Arial"/>
          <w:sz w:val="24"/>
          <w:szCs w:val="24"/>
          <w:lang w:val="es-419"/>
        </w:rPr>
        <w:t>í</w:t>
      </w:r>
      <w:r w:rsidRPr="00857BD5">
        <w:rPr>
          <w:rFonts w:ascii="Arial" w:hAnsi="Arial" w:cs="Arial"/>
          <w:sz w:val="24"/>
          <w:szCs w:val="24"/>
          <w:lang w:val="es-419"/>
        </w:rPr>
        <w:t>a</w:t>
      </w:r>
      <w:r>
        <w:rPr>
          <w:rFonts w:ascii="Arial" w:hAnsi="Arial" w:cs="Arial"/>
          <w:sz w:val="24"/>
          <w:szCs w:val="24"/>
          <w:lang w:val="es-419"/>
        </w:rPr>
        <w:t xml:space="preserve"> un</w:t>
      </w:r>
      <w:r w:rsidRPr="00857BD5">
        <w:rPr>
          <w:rFonts w:ascii="Arial" w:hAnsi="Arial" w:cs="Arial"/>
          <w:sz w:val="24"/>
          <w:szCs w:val="24"/>
          <w:lang w:val="es-419"/>
        </w:rPr>
        <w:t xml:space="preserve"> </w:t>
      </w:r>
      <w:r>
        <w:rPr>
          <w:rFonts w:ascii="Arial" w:hAnsi="Arial" w:cs="Arial"/>
          <w:sz w:val="24"/>
          <w:szCs w:val="24"/>
          <w:lang w:val="es-419"/>
        </w:rPr>
        <w:t>val</w:t>
      </w:r>
      <w:r>
        <w:rPr>
          <w:rFonts w:ascii="Arial" w:hAnsi="Arial" w:cs="Arial"/>
          <w:sz w:val="24"/>
          <w:szCs w:val="24"/>
          <w:lang w:val="es-419"/>
        </w:rPr>
        <w:t>or de</w:t>
      </w:r>
      <w:r>
        <w:rPr>
          <w:rFonts w:ascii="Arial" w:hAnsi="Arial" w:cs="Arial"/>
          <w:sz w:val="24"/>
          <w:szCs w:val="24"/>
          <w:lang w:val="es-419"/>
        </w:rPr>
        <w:t xml:space="preserve"> 8</w:t>
      </w:r>
      <w:r>
        <w:rPr>
          <w:rFonts w:ascii="Arial" w:hAnsi="Arial" w:cs="Arial"/>
          <w:sz w:val="24"/>
          <w:szCs w:val="24"/>
          <w:lang w:val="es-419"/>
        </w:rPr>
        <w:t xml:space="preserve"> millones de pesos cada uno. S</w:t>
      </w:r>
      <w:r>
        <w:rPr>
          <w:rFonts w:ascii="Arial" w:hAnsi="Arial" w:cs="Arial"/>
          <w:sz w:val="24"/>
          <w:szCs w:val="24"/>
          <w:lang w:val="es-419"/>
        </w:rPr>
        <w:t xml:space="preserve">egún el </w:t>
      </w:r>
      <w:r>
        <w:rPr>
          <w:rFonts w:ascii="Arial" w:hAnsi="Arial" w:cs="Arial"/>
          <w:sz w:val="24"/>
          <w:szCs w:val="24"/>
          <w:lang w:val="es-419"/>
        </w:rPr>
        <w:t>S</w:t>
      </w:r>
      <w:r>
        <w:rPr>
          <w:rFonts w:ascii="Arial" w:hAnsi="Arial" w:cs="Arial"/>
          <w:sz w:val="24"/>
          <w:szCs w:val="24"/>
          <w:lang w:val="es-419"/>
        </w:rPr>
        <w:t xml:space="preserve">ervicio </w:t>
      </w:r>
      <w:r>
        <w:rPr>
          <w:rFonts w:ascii="Arial" w:hAnsi="Arial" w:cs="Arial"/>
          <w:sz w:val="24"/>
          <w:szCs w:val="24"/>
          <w:lang w:val="es-419"/>
        </w:rPr>
        <w:t>C</w:t>
      </w:r>
      <w:r>
        <w:rPr>
          <w:rFonts w:ascii="Arial" w:hAnsi="Arial" w:cs="Arial"/>
          <w:sz w:val="24"/>
          <w:szCs w:val="24"/>
          <w:lang w:val="es-419"/>
        </w:rPr>
        <w:t>ivil serán 10</w:t>
      </w:r>
      <w:r>
        <w:rPr>
          <w:rFonts w:ascii="Arial" w:hAnsi="Arial" w:cs="Arial"/>
          <w:sz w:val="24"/>
          <w:szCs w:val="24"/>
          <w:lang w:val="es-419"/>
        </w:rPr>
        <w:t xml:space="preserve"> los</w:t>
      </w:r>
      <w:r>
        <w:rPr>
          <w:rFonts w:ascii="Arial" w:hAnsi="Arial" w:cs="Arial"/>
          <w:sz w:val="24"/>
          <w:szCs w:val="24"/>
          <w:lang w:val="es-419"/>
        </w:rPr>
        <w:t xml:space="preserve"> días</w:t>
      </w:r>
      <w:r>
        <w:rPr>
          <w:rFonts w:ascii="Arial" w:hAnsi="Arial" w:cs="Arial"/>
          <w:sz w:val="24"/>
          <w:szCs w:val="24"/>
          <w:lang w:val="es-419"/>
        </w:rPr>
        <w:t xml:space="preserve"> necesarios</w:t>
      </w:r>
      <w:r>
        <w:rPr>
          <w:rFonts w:ascii="Arial" w:hAnsi="Arial" w:cs="Arial"/>
          <w:sz w:val="24"/>
          <w:szCs w:val="24"/>
          <w:lang w:val="es-419"/>
        </w:rPr>
        <w:t xml:space="preserve"> en elaborar el informe</w:t>
      </w:r>
      <w:r>
        <w:rPr>
          <w:rFonts w:ascii="Arial" w:hAnsi="Arial" w:cs="Arial"/>
          <w:sz w:val="24"/>
          <w:szCs w:val="24"/>
          <w:lang w:val="es-419"/>
        </w:rPr>
        <w:t>, el cual</w:t>
      </w:r>
      <w:r>
        <w:rPr>
          <w:rFonts w:ascii="Arial" w:hAnsi="Arial" w:cs="Arial"/>
          <w:sz w:val="24"/>
          <w:szCs w:val="24"/>
          <w:lang w:val="es-419"/>
        </w:rPr>
        <w:t xml:space="preserve"> es ratificado por la ADP. </w:t>
      </w:r>
      <w:r>
        <w:rPr>
          <w:rFonts w:ascii="Arial" w:hAnsi="Arial" w:cs="Arial"/>
          <w:sz w:val="24"/>
          <w:szCs w:val="24"/>
          <w:lang w:val="es-419"/>
        </w:rPr>
        <w:t xml:space="preserve">En el caso que sea la misma ADP quien realice el informe el costo se incrementa a 20 millones. </w:t>
      </w:r>
    </w:p>
    <w:p w:rsidR="00857BD5" w:rsidRDefault="00857BD5" w:rsidP="00857BD5">
      <w:pPr>
        <w:jc w:val="both"/>
        <w:rPr>
          <w:rFonts w:ascii="Arial" w:hAnsi="Arial" w:cs="Arial"/>
          <w:sz w:val="24"/>
          <w:szCs w:val="24"/>
          <w:lang w:val="es-419"/>
        </w:rPr>
      </w:pPr>
      <w:r>
        <w:rPr>
          <w:rFonts w:ascii="Arial" w:hAnsi="Arial" w:cs="Arial"/>
          <w:sz w:val="24"/>
          <w:szCs w:val="24"/>
          <w:lang w:val="es-419"/>
        </w:rPr>
        <w:t>El informe en estricto rigor podría prestarse para contratar parientes, sino más bien de un blanqueo en su ingreso.</w:t>
      </w:r>
    </w:p>
    <w:p w:rsidR="00857BD5" w:rsidRDefault="00857BD5" w:rsidP="00857BD5">
      <w:pPr>
        <w:jc w:val="both"/>
        <w:rPr>
          <w:rFonts w:ascii="Arial" w:hAnsi="Arial" w:cs="Arial"/>
          <w:sz w:val="24"/>
          <w:szCs w:val="24"/>
          <w:lang w:val="es-419"/>
        </w:rPr>
      </w:pPr>
      <w:r w:rsidRPr="00857BD5">
        <w:rPr>
          <w:rFonts w:ascii="Arial" w:hAnsi="Arial" w:cs="Arial"/>
          <w:sz w:val="24"/>
          <w:szCs w:val="24"/>
          <w:lang w:val="es-419"/>
        </w:rPr>
        <w:t xml:space="preserve">Existe la duda si este informe </w:t>
      </w:r>
      <w:r>
        <w:rPr>
          <w:rFonts w:ascii="Arial" w:hAnsi="Arial" w:cs="Arial"/>
          <w:sz w:val="24"/>
          <w:szCs w:val="24"/>
          <w:lang w:val="es-419"/>
        </w:rPr>
        <w:t>es vinculante</w:t>
      </w:r>
      <w:r>
        <w:rPr>
          <w:rFonts w:ascii="Arial" w:hAnsi="Arial" w:cs="Arial"/>
          <w:sz w:val="24"/>
          <w:szCs w:val="24"/>
          <w:lang w:val="es-419"/>
        </w:rPr>
        <w:t>, pues de ser así podría</w:t>
      </w:r>
      <w:r>
        <w:rPr>
          <w:rFonts w:ascii="Arial" w:hAnsi="Arial" w:cs="Arial"/>
          <w:sz w:val="24"/>
          <w:szCs w:val="24"/>
          <w:lang w:val="es-419"/>
        </w:rPr>
        <w:t xml:space="preserve"> estar limitado la libertad de trabajo, pues buenos profesionales pued</w:t>
      </w:r>
      <w:r>
        <w:rPr>
          <w:rFonts w:ascii="Arial" w:hAnsi="Arial" w:cs="Arial"/>
          <w:sz w:val="24"/>
          <w:szCs w:val="24"/>
          <w:lang w:val="es-419"/>
        </w:rPr>
        <w:t>a</w:t>
      </w:r>
      <w:r>
        <w:rPr>
          <w:rFonts w:ascii="Arial" w:hAnsi="Arial" w:cs="Arial"/>
          <w:sz w:val="24"/>
          <w:szCs w:val="24"/>
          <w:lang w:val="es-419"/>
        </w:rPr>
        <w:t xml:space="preserve">n quedar </w:t>
      </w:r>
      <w:r>
        <w:rPr>
          <w:rFonts w:ascii="Arial" w:hAnsi="Arial" w:cs="Arial"/>
          <w:sz w:val="24"/>
          <w:szCs w:val="24"/>
          <w:lang w:val="es-419"/>
        </w:rPr>
        <w:t>afuera</w:t>
      </w:r>
      <w:r>
        <w:rPr>
          <w:rFonts w:ascii="Arial" w:hAnsi="Arial" w:cs="Arial"/>
          <w:sz w:val="24"/>
          <w:szCs w:val="24"/>
          <w:lang w:val="es-419"/>
        </w:rPr>
        <w:t xml:space="preserve"> por el solo </w:t>
      </w:r>
      <w:r>
        <w:rPr>
          <w:rFonts w:ascii="Arial" w:hAnsi="Arial" w:cs="Arial"/>
          <w:sz w:val="24"/>
          <w:szCs w:val="24"/>
          <w:lang w:val="es-419"/>
        </w:rPr>
        <w:t>hecho</w:t>
      </w:r>
      <w:r>
        <w:rPr>
          <w:rFonts w:ascii="Arial" w:hAnsi="Arial" w:cs="Arial"/>
          <w:sz w:val="24"/>
          <w:szCs w:val="24"/>
          <w:lang w:val="es-419"/>
        </w:rPr>
        <w:t xml:space="preserve"> </w:t>
      </w:r>
      <w:r>
        <w:rPr>
          <w:rFonts w:ascii="Arial" w:hAnsi="Arial" w:cs="Arial"/>
          <w:sz w:val="24"/>
          <w:szCs w:val="24"/>
          <w:lang w:val="es-419"/>
        </w:rPr>
        <w:t>de</w:t>
      </w:r>
      <w:r>
        <w:rPr>
          <w:rFonts w:ascii="Arial" w:hAnsi="Arial" w:cs="Arial"/>
          <w:sz w:val="24"/>
          <w:szCs w:val="24"/>
          <w:lang w:val="es-419"/>
        </w:rPr>
        <w:t xml:space="preserve"> ser parientes.</w:t>
      </w:r>
    </w:p>
    <w:p w:rsidR="006C0308" w:rsidRDefault="006C0308" w:rsidP="006C0308">
      <w:pPr>
        <w:jc w:val="both"/>
        <w:rPr>
          <w:rFonts w:ascii="Arial" w:hAnsi="Arial" w:cs="Arial"/>
          <w:sz w:val="24"/>
          <w:szCs w:val="24"/>
          <w:lang w:val="es-419"/>
        </w:rPr>
      </w:pPr>
      <w:r>
        <w:rPr>
          <w:rFonts w:ascii="Arial" w:hAnsi="Arial" w:cs="Arial"/>
          <w:sz w:val="24"/>
          <w:szCs w:val="24"/>
          <w:lang w:val="es-419"/>
        </w:rPr>
        <w:t>Este proyecto también se introduce en el ámbito de regular el p</w:t>
      </w:r>
      <w:r>
        <w:rPr>
          <w:rFonts w:ascii="Arial" w:hAnsi="Arial" w:cs="Arial"/>
          <w:sz w:val="24"/>
          <w:szCs w:val="24"/>
          <w:lang w:val="es-419"/>
        </w:rPr>
        <w:t>ost empleo,</w:t>
      </w:r>
      <w:r>
        <w:rPr>
          <w:rFonts w:ascii="Arial" w:hAnsi="Arial" w:cs="Arial"/>
          <w:sz w:val="24"/>
          <w:szCs w:val="24"/>
          <w:lang w:val="es-419"/>
        </w:rPr>
        <w:t xml:space="preserve"> con la finalidad de</w:t>
      </w:r>
      <w:r>
        <w:rPr>
          <w:rFonts w:ascii="Arial" w:hAnsi="Arial" w:cs="Arial"/>
          <w:sz w:val="24"/>
          <w:szCs w:val="24"/>
          <w:lang w:val="es-419"/>
        </w:rPr>
        <w:t xml:space="preserve"> prohibir que la autoridad fiscalizadora pueda trabajar</w:t>
      </w:r>
      <w:r>
        <w:rPr>
          <w:rFonts w:ascii="Arial" w:hAnsi="Arial" w:cs="Arial"/>
          <w:sz w:val="24"/>
          <w:szCs w:val="24"/>
          <w:lang w:val="es-419"/>
        </w:rPr>
        <w:t xml:space="preserve"> en el área de su fiscalización, y de esta manera evitar posibles tráficos de influencias. Esta prohibición se realizará</w:t>
      </w:r>
      <w:r>
        <w:rPr>
          <w:rFonts w:ascii="Arial" w:hAnsi="Arial" w:cs="Arial"/>
          <w:sz w:val="24"/>
          <w:szCs w:val="24"/>
          <w:lang w:val="es-419"/>
        </w:rPr>
        <w:t xml:space="preserve"> por un año el rubro que fiscalizo.</w:t>
      </w:r>
      <w:r>
        <w:rPr>
          <w:rFonts w:ascii="Arial" w:hAnsi="Arial" w:cs="Arial"/>
          <w:sz w:val="24"/>
          <w:szCs w:val="24"/>
          <w:lang w:val="es-419"/>
        </w:rPr>
        <w:t xml:space="preserve"> No obstante, esta definición e</w:t>
      </w:r>
      <w:r>
        <w:rPr>
          <w:rFonts w:ascii="Arial" w:hAnsi="Arial" w:cs="Arial"/>
          <w:sz w:val="24"/>
          <w:szCs w:val="24"/>
          <w:lang w:val="es-419"/>
        </w:rPr>
        <w:t>s demasiado ampli</w:t>
      </w:r>
      <w:r>
        <w:rPr>
          <w:rFonts w:ascii="Arial" w:hAnsi="Arial" w:cs="Arial"/>
          <w:sz w:val="24"/>
          <w:szCs w:val="24"/>
          <w:lang w:val="es-419"/>
        </w:rPr>
        <w:t>a</w:t>
      </w:r>
      <w:r>
        <w:rPr>
          <w:rFonts w:ascii="Arial" w:hAnsi="Arial" w:cs="Arial"/>
          <w:sz w:val="24"/>
          <w:szCs w:val="24"/>
          <w:lang w:val="es-419"/>
        </w:rPr>
        <w:t>, pues</w:t>
      </w:r>
      <w:r>
        <w:rPr>
          <w:rFonts w:ascii="Arial" w:hAnsi="Arial" w:cs="Arial"/>
          <w:sz w:val="24"/>
          <w:szCs w:val="24"/>
          <w:lang w:val="es-419"/>
        </w:rPr>
        <w:t xml:space="preserve"> existen</w:t>
      </w:r>
      <w:r>
        <w:rPr>
          <w:rFonts w:ascii="Arial" w:hAnsi="Arial" w:cs="Arial"/>
          <w:sz w:val="24"/>
          <w:szCs w:val="24"/>
          <w:lang w:val="es-419"/>
        </w:rPr>
        <w:t xml:space="preserve"> </w:t>
      </w:r>
      <w:r>
        <w:rPr>
          <w:rFonts w:ascii="Arial" w:hAnsi="Arial" w:cs="Arial"/>
          <w:sz w:val="24"/>
          <w:szCs w:val="24"/>
          <w:lang w:val="es-419"/>
        </w:rPr>
        <w:t xml:space="preserve">fiscalizadores transversales como es el caso de </w:t>
      </w:r>
      <w:r>
        <w:rPr>
          <w:rFonts w:ascii="Arial" w:hAnsi="Arial" w:cs="Arial"/>
          <w:sz w:val="24"/>
          <w:szCs w:val="24"/>
          <w:lang w:val="es-419"/>
        </w:rPr>
        <w:lastRenderedPageBreak/>
        <w:t>la Dirección del Trabajo o del Servicio de Impuestos Internos que desempeñan sus funciones</w:t>
      </w:r>
      <w:r>
        <w:rPr>
          <w:rFonts w:ascii="Arial" w:hAnsi="Arial" w:cs="Arial"/>
          <w:sz w:val="24"/>
          <w:szCs w:val="24"/>
          <w:lang w:val="es-419"/>
        </w:rPr>
        <w:t xml:space="preserve"> en rubros</w:t>
      </w:r>
      <w:r>
        <w:rPr>
          <w:rFonts w:ascii="Arial" w:hAnsi="Arial" w:cs="Arial"/>
          <w:sz w:val="24"/>
          <w:szCs w:val="24"/>
          <w:lang w:val="es-419"/>
        </w:rPr>
        <w:t xml:space="preserve"> muy</w:t>
      </w:r>
      <w:r>
        <w:rPr>
          <w:rFonts w:ascii="Arial" w:hAnsi="Arial" w:cs="Arial"/>
          <w:sz w:val="24"/>
          <w:szCs w:val="24"/>
          <w:lang w:val="es-419"/>
        </w:rPr>
        <w:t xml:space="preserve"> extendidos</w:t>
      </w:r>
      <w:r>
        <w:rPr>
          <w:rFonts w:ascii="Arial" w:hAnsi="Arial" w:cs="Arial"/>
          <w:sz w:val="24"/>
          <w:szCs w:val="24"/>
          <w:lang w:val="es-419"/>
        </w:rPr>
        <w:t xml:space="preserve">; limitando seriamente su libertad de trabajo. Este mismo caso se aplicaría </w:t>
      </w:r>
      <w:r>
        <w:rPr>
          <w:rFonts w:ascii="Arial" w:hAnsi="Arial" w:cs="Arial"/>
          <w:sz w:val="24"/>
          <w:szCs w:val="24"/>
          <w:lang w:val="es-419"/>
        </w:rPr>
        <w:t>en los sectores de educación y salud.</w:t>
      </w:r>
    </w:p>
    <w:p w:rsidR="006C0308" w:rsidRDefault="006C0308" w:rsidP="006C0308">
      <w:pPr>
        <w:jc w:val="both"/>
        <w:rPr>
          <w:rFonts w:ascii="Arial" w:hAnsi="Arial" w:cs="Arial"/>
          <w:sz w:val="24"/>
          <w:szCs w:val="24"/>
          <w:lang w:val="es-419"/>
        </w:rPr>
      </w:pPr>
      <w:r>
        <w:rPr>
          <w:rFonts w:ascii="Arial" w:hAnsi="Arial" w:cs="Arial"/>
          <w:sz w:val="24"/>
          <w:szCs w:val="24"/>
          <w:lang w:val="es-419"/>
        </w:rPr>
        <w:t>Del mismo modo, y en concordancia con lo anterior s</w:t>
      </w:r>
      <w:r>
        <w:rPr>
          <w:rFonts w:ascii="Arial" w:hAnsi="Arial" w:cs="Arial"/>
          <w:sz w:val="24"/>
          <w:szCs w:val="24"/>
          <w:lang w:val="es-419"/>
        </w:rPr>
        <w:t>e prohíbe a los abogados poder ejercer</w:t>
      </w:r>
      <w:r>
        <w:rPr>
          <w:rFonts w:ascii="Arial" w:hAnsi="Arial" w:cs="Arial"/>
          <w:sz w:val="24"/>
          <w:szCs w:val="24"/>
          <w:lang w:val="es-419"/>
        </w:rPr>
        <w:t xml:space="preserve"> su profesión si litigan</w:t>
      </w:r>
      <w:r>
        <w:rPr>
          <w:rFonts w:ascii="Arial" w:hAnsi="Arial" w:cs="Arial"/>
          <w:sz w:val="24"/>
          <w:szCs w:val="24"/>
          <w:lang w:val="es-419"/>
        </w:rPr>
        <w:t xml:space="preserve"> en contra de Estado en el sector donde trabajaron</w:t>
      </w:r>
      <w:r>
        <w:rPr>
          <w:rFonts w:ascii="Arial" w:hAnsi="Arial" w:cs="Arial"/>
          <w:sz w:val="24"/>
          <w:szCs w:val="24"/>
          <w:lang w:val="es-419"/>
        </w:rPr>
        <w:t xml:space="preserve"> previamente en la Administración</w:t>
      </w:r>
      <w:r>
        <w:rPr>
          <w:rFonts w:ascii="Arial" w:hAnsi="Arial" w:cs="Arial"/>
          <w:sz w:val="24"/>
          <w:szCs w:val="24"/>
          <w:lang w:val="es-419"/>
        </w:rPr>
        <w:t>.</w:t>
      </w:r>
      <w:r>
        <w:rPr>
          <w:rFonts w:ascii="Arial" w:hAnsi="Arial" w:cs="Arial"/>
          <w:sz w:val="24"/>
          <w:szCs w:val="24"/>
          <w:lang w:val="es-419"/>
        </w:rPr>
        <w:t xml:space="preserve"> De lo anterior se desprende una pregunta de gestión ¿Quién será el organismo responsable del seguimiento</w:t>
      </w:r>
      <w:r>
        <w:rPr>
          <w:rFonts w:ascii="Arial" w:hAnsi="Arial" w:cs="Arial"/>
          <w:sz w:val="24"/>
          <w:szCs w:val="24"/>
          <w:lang w:val="es-419"/>
        </w:rPr>
        <w:t xml:space="preserve"> al post </w:t>
      </w:r>
      <w:r>
        <w:rPr>
          <w:rFonts w:ascii="Arial" w:hAnsi="Arial" w:cs="Arial"/>
          <w:sz w:val="24"/>
          <w:szCs w:val="24"/>
          <w:lang w:val="es-419"/>
        </w:rPr>
        <w:t>empleo?</w:t>
      </w:r>
      <w:r>
        <w:rPr>
          <w:rFonts w:ascii="Arial" w:hAnsi="Arial" w:cs="Arial"/>
          <w:sz w:val="24"/>
          <w:szCs w:val="24"/>
          <w:lang w:val="es-419"/>
        </w:rPr>
        <w:t xml:space="preserve"> </w:t>
      </w:r>
    </w:p>
    <w:p w:rsidR="006C0308" w:rsidRDefault="006C0308" w:rsidP="006C0308">
      <w:pPr>
        <w:jc w:val="both"/>
        <w:rPr>
          <w:rFonts w:ascii="Arial" w:hAnsi="Arial" w:cs="Arial"/>
          <w:sz w:val="24"/>
          <w:szCs w:val="24"/>
          <w:lang w:val="es-419"/>
        </w:rPr>
      </w:pPr>
      <w:r w:rsidRPr="006C0308">
        <w:rPr>
          <w:rFonts w:ascii="Arial" w:hAnsi="Arial" w:cs="Arial"/>
          <w:sz w:val="24"/>
          <w:szCs w:val="24"/>
          <w:lang w:val="es-419"/>
        </w:rPr>
        <w:t xml:space="preserve">En esta misma línea el proyecto incluye </w:t>
      </w:r>
      <w:r>
        <w:rPr>
          <w:rFonts w:ascii="Arial" w:hAnsi="Arial" w:cs="Arial"/>
          <w:sz w:val="24"/>
          <w:szCs w:val="24"/>
          <w:lang w:val="es-419"/>
        </w:rPr>
        <w:t>p</w:t>
      </w:r>
      <w:r w:rsidRPr="006C0308">
        <w:rPr>
          <w:rFonts w:ascii="Arial" w:hAnsi="Arial" w:cs="Arial"/>
          <w:sz w:val="24"/>
          <w:szCs w:val="24"/>
          <w:lang w:val="es-419"/>
        </w:rPr>
        <w:t>rohibir</w:t>
      </w:r>
      <w:r>
        <w:rPr>
          <w:rFonts w:ascii="Arial" w:hAnsi="Arial" w:cs="Arial"/>
          <w:sz w:val="24"/>
          <w:szCs w:val="24"/>
          <w:lang w:val="es-419"/>
        </w:rPr>
        <w:t xml:space="preserve"> </w:t>
      </w:r>
      <w:r w:rsidR="00DB608C">
        <w:rPr>
          <w:rFonts w:ascii="Arial" w:hAnsi="Arial" w:cs="Arial"/>
          <w:sz w:val="24"/>
          <w:szCs w:val="24"/>
          <w:lang w:val="es-419"/>
        </w:rPr>
        <w:t xml:space="preserve">la </w:t>
      </w:r>
      <w:r>
        <w:rPr>
          <w:rFonts w:ascii="Arial" w:hAnsi="Arial" w:cs="Arial"/>
          <w:sz w:val="24"/>
          <w:szCs w:val="24"/>
          <w:lang w:val="es-419"/>
        </w:rPr>
        <w:t>contrata</w:t>
      </w:r>
      <w:r w:rsidR="00DB608C">
        <w:rPr>
          <w:rFonts w:ascii="Arial" w:hAnsi="Arial" w:cs="Arial"/>
          <w:sz w:val="24"/>
          <w:szCs w:val="24"/>
          <w:lang w:val="es-419"/>
        </w:rPr>
        <w:t>ción de</w:t>
      </w:r>
      <w:r>
        <w:rPr>
          <w:rFonts w:ascii="Arial" w:hAnsi="Arial" w:cs="Arial"/>
          <w:sz w:val="24"/>
          <w:szCs w:val="24"/>
          <w:lang w:val="es-419"/>
        </w:rPr>
        <w:t xml:space="preserve"> lobistas en la </w:t>
      </w:r>
      <w:r w:rsidR="00DB608C">
        <w:rPr>
          <w:rFonts w:ascii="Arial" w:hAnsi="Arial" w:cs="Arial"/>
          <w:sz w:val="24"/>
          <w:szCs w:val="24"/>
          <w:lang w:val="es-419"/>
        </w:rPr>
        <w:t>A</w:t>
      </w:r>
      <w:r>
        <w:rPr>
          <w:rFonts w:ascii="Arial" w:hAnsi="Arial" w:cs="Arial"/>
          <w:sz w:val="24"/>
          <w:szCs w:val="24"/>
          <w:lang w:val="es-419"/>
        </w:rPr>
        <w:t>dministración</w:t>
      </w:r>
      <w:r>
        <w:rPr>
          <w:rFonts w:ascii="Arial" w:hAnsi="Arial" w:cs="Arial"/>
          <w:sz w:val="24"/>
          <w:szCs w:val="24"/>
          <w:lang w:val="es-419"/>
        </w:rPr>
        <w:t xml:space="preserve"> del Estado,</w:t>
      </w:r>
      <w:r w:rsidR="00DB608C">
        <w:rPr>
          <w:rFonts w:ascii="Arial" w:hAnsi="Arial" w:cs="Arial"/>
          <w:sz w:val="24"/>
          <w:szCs w:val="24"/>
          <w:lang w:val="es-419"/>
        </w:rPr>
        <w:t xml:space="preserve"> si estos realizaron esta actividad</w:t>
      </w:r>
      <w:r>
        <w:rPr>
          <w:rFonts w:ascii="Arial" w:hAnsi="Arial" w:cs="Arial"/>
          <w:sz w:val="24"/>
          <w:szCs w:val="24"/>
          <w:lang w:val="es-419"/>
        </w:rPr>
        <w:t xml:space="preserve"> hasta en un año antes del </w:t>
      </w:r>
      <w:r w:rsidR="00DB608C">
        <w:rPr>
          <w:rFonts w:ascii="Arial" w:hAnsi="Arial" w:cs="Arial"/>
          <w:sz w:val="24"/>
          <w:szCs w:val="24"/>
          <w:lang w:val="es-419"/>
        </w:rPr>
        <w:t xml:space="preserve">potencial </w:t>
      </w:r>
      <w:r>
        <w:rPr>
          <w:rFonts w:ascii="Arial" w:hAnsi="Arial" w:cs="Arial"/>
          <w:sz w:val="24"/>
          <w:szCs w:val="24"/>
          <w:lang w:val="es-419"/>
        </w:rPr>
        <w:t xml:space="preserve">nombramiento. </w:t>
      </w:r>
    </w:p>
    <w:p w:rsidR="00DB608C" w:rsidRDefault="00DB608C" w:rsidP="00DB608C">
      <w:pPr>
        <w:jc w:val="both"/>
        <w:rPr>
          <w:rFonts w:ascii="Arial" w:hAnsi="Arial" w:cs="Arial"/>
          <w:sz w:val="24"/>
          <w:szCs w:val="24"/>
          <w:lang w:val="es-419"/>
        </w:rPr>
      </w:pPr>
      <w:r>
        <w:rPr>
          <w:rFonts w:ascii="Arial" w:hAnsi="Arial" w:cs="Arial"/>
          <w:sz w:val="24"/>
          <w:szCs w:val="24"/>
          <w:lang w:val="es-419"/>
        </w:rPr>
        <w:t>En</w:t>
      </w:r>
      <w:r>
        <w:rPr>
          <w:rFonts w:ascii="Arial" w:hAnsi="Arial" w:cs="Arial"/>
          <w:sz w:val="24"/>
          <w:szCs w:val="24"/>
          <w:lang w:val="es-419"/>
        </w:rPr>
        <w:t xml:space="preserve"> materia de C</w:t>
      </w:r>
      <w:r>
        <w:rPr>
          <w:rFonts w:ascii="Arial" w:hAnsi="Arial" w:cs="Arial"/>
          <w:sz w:val="24"/>
          <w:szCs w:val="24"/>
          <w:lang w:val="es-419"/>
        </w:rPr>
        <w:t xml:space="preserve">ompras </w:t>
      </w:r>
      <w:r>
        <w:rPr>
          <w:rFonts w:ascii="Arial" w:hAnsi="Arial" w:cs="Arial"/>
          <w:sz w:val="24"/>
          <w:szCs w:val="24"/>
          <w:lang w:val="es-419"/>
        </w:rPr>
        <w:t>Públicas</w:t>
      </w:r>
      <w:r>
        <w:rPr>
          <w:rFonts w:ascii="Arial" w:hAnsi="Arial" w:cs="Arial"/>
          <w:sz w:val="24"/>
          <w:szCs w:val="24"/>
          <w:lang w:val="es-419"/>
        </w:rPr>
        <w:t xml:space="preserve"> se establece la </w:t>
      </w:r>
      <w:r>
        <w:rPr>
          <w:rFonts w:ascii="Arial" w:hAnsi="Arial" w:cs="Arial"/>
          <w:sz w:val="24"/>
          <w:szCs w:val="24"/>
          <w:lang w:val="es-419"/>
        </w:rPr>
        <w:t xml:space="preserve">prohibición </w:t>
      </w:r>
      <w:r>
        <w:rPr>
          <w:rFonts w:ascii="Arial" w:hAnsi="Arial" w:cs="Arial"/>
          <w:sz w:val="24"/>
          <w:szCs w:val="24"/>
          <w:lang w:val="es-419"/>
        </w:rPr>
        <w:t xml:space="preserve">de contratar con los parientes, </w:t>
      </w:r>
      <w:r>
        <w:rPr>
          <w:rFonts w:ascii="Arial" w:hAnsi="Arial" w:cs="Arial"/>
          <w:sz w:val="24"/>
          <w:szCs w:val="24"/>
          <w:lang w:val="es-419"/>
        </w:rPr>
        <w:t xml:space="preserve">que, si bien esta norma </w:t>
      </w:r>
      <w:r>
        <w:rPr>
          <w:rFonts w:ascii="Arial" w:hAnsi="Arial" w:cs="Arial"/>
          <w:sz w:val="24"/>
          <w:szCs w:val="24"/>
          <w:lang w:val="es-419"/>
        </w:rPr>
        <w:t xml:space="preserve">ya </w:t>
      </w:r>
      <w:r>
        <w:rPr>
          <w:rFonts w:ascii="Arial" w:hAnsi="Arial" w:cs="Arial"/>
          <w:sz w:val="24"/>
          <w:szCs w:val="24"/>
          <w:lang w:val="es-419"/>
        </w:rPr>
        <w:t>existe,</w:t>
      </w:r>
      <w:r>
        <w:rPr>
          <w:rFonts w:ascii="Arial" w:hAnsi="Arial" w:cs="Arial"/>
          <w:sz w:val="24"/>
          <w:szCs w:val="24"/>
          <w:lang w:val="es-419"/>
        </w:rPr>
        <w:t xml:space="preserve"> </w:t>
      </w:r>
      <w:r>
        <w:rPr>
          <w:rFonts w:ascii="Arial" w:hAnsi="Arial" w:cs="Arial"/>
          <w:sz w:val="24"/>
          <w:szCs w:val="24"/>
          <w:lang w:val="es-419"/>
        </w:rPr>
        <w:t>es</w:t>
      </w:r>
      <w:r>
        <w:rPr>
          <w:rFonts w:ascii="Arial" w:hAnsi="Arial" w:cs="Arial"/>
          <w:sz w:val="24"/>
          <w:szCs w:val="24"/>
          <w:lang w:val="es-419"/>
        </w:rPr>
        <w:t xml:space="preserve"> ref</w:t>
      </w:r>
      <w:r>
        <w:rPr>
          <w:rFonts w:ascii="Arial" w:hAnsi="Arial" w:cs="Arial"/>
          <w:sz w:val="24"/>
          <w:szCs w:val="24"/>
          <w:lang w:val="es-419"/>
        </w:rPr>
        <w:t>orzada</w:t>
      </w:r>
      <w:r>
        <w:rPr>
          <w:rFonts w:ascii="Arial" w:hAnsi="Arial" w:cs="Arial"/>
          <w:sz w:val="24"/>
          <w:szCs w:val="24"/>
          <w:lang w:val="es-419"/>
        </w:rPr>
        <w:t>.</w:t>
      </w:r>
    </w:p>
    <w:p w:rsidR="00DB608C" w:rsidRDefault="00DB608C" w:rsidP="00DB608C">
      <w:pPr>
        <w:jc w:val="both"/>
        <w:rPr>
          <w:rFonts w:ascii="Arial" w:hAnsi="Arial" w:cs="Arial"/>
          <w:sz w:val="24"/>
          <w:szCs w:val="24"/>
          <w:lang w:val="es-419"/>
        </w:rPr>
      </w:pPr>
      <w:r>
        <w:rPr>
          <w:rFonts w:ascii="Arial" w:hAnsi="Arial" w:cs="Arial"/>
          <w:sz w:val="24"/>
          <w:szCs w:val="24"/>
          <w:lang w:val="es-419"/>
        </w:rPr>
        <w:t>Por último, estable una gran cantidad de o</w:t>
      </w:r>
      <w:r>
        <w:rPr>
          <w:rFonts w:ascii="Arial" w:hAnsi="Arial" w:cs="Arial"/>
          <w:sz w:val="24"/>
          <w:szCs w:val="24"/>
          <w:lang w:val="es-419"/>
        </w:rPr>
        <w:t>bligaciones al parlamento; como por ejemplo</w:t>
      </w:r>
      <w:r>
        <w:rPr>
          <w:rFonts w:ascii="Arial" w:hAnsi="Arial" w:cs="Arial"/>
          <w:sz w:val="24"/>
          <w:szCs w:val="24"/>
          <w:lang w:val="es-419"/>
        </w:rPr>
        <w:t xml:space="preserve"> la prohibición de</w:t>
      </w:r>
      <w:r>
        <w:rPr>
          <w:rFonts w:ascii="Arial" w:hAnsi="Arial" w:cs="Arial"/>
          <w:sz w:val="24"/>
          <w:szCs w:val="24"/>
          <w:lang w:val="es-419"/>
        </w:rPr>
        <w:t xml:space="preserve"> contratar a </w:t>
      </w:r>
      <w:r>
        <w:rPr>
          <w:rFonts w:ascii="Arial" w:hAnsi="Arial" w:cs="Arial"/>
          <w:sz w:val="24"/>
          <w:szCs w:val="24"/>
          <w:lang w:val="es-419"/>
        </w:rPr>
        <w:t>parientes</w:t>
      </w:r>
      <w:r>
        <w:rPr>
          <w:rFonts w:ascii="Arial" w:hAnsi="Arial" w:cs="Arial"/>
          <w:sz w:val="24"/>
          <w:szCs w:val="24"/>
          <w:lang w:val="es-419"/>
        </w:rPr>
        <w:t xml:space="preserve"> directos</w:t>
      </w:r>
      <w:r>
        <w:rPr>
          <w:rFonts w:ascii="Arial" w:hAnsi="Arial" w:cs="Arial"/>
          <w:sz w:val="24"/>
          <w:szCs w:val="24"/>
          <w:lang w:val="es-419"/>
        </w:rPr>
        <w:t xml:space="preserve"> en las asesorías</w:t>
      </w:r>
      <w:r>
        <w:rPr>
          <w:rFonts w:ascii="Arial" w:hAnsi="Arial" w:cs="Arial"/>
          <w:sz w:val="24"/>
          <w:szCs w:val="24"/>
          <w:lang w:val="es-419"/>
        </w:rPr>
        <w:t xml:space="preserve"> de los parlamentarios</w:t>
      </w:r>
      <w:r>
        <w:rPr>
          <w:rFonts w:ascii="Arial" w:hAnsi="Arial" w:cs="Arial"/>
          <w:sz w:val="24"/>
          <w:szCs w:val="24"/>
          <w:lang w:val="es-419"/>
        </w:rPr>
        <w:t xml:space="preserve">. </w:t>
      </w:r>
    </w:p>
    <w:p w:rsidR="00DB608C" w:rsidRDefault="00A07000" w:rsidP="00A07000">
      <w:pPr>
        <w:pStyle w:val="personal"/>
        <w:tabs>
          <w:tab w:val="left" w:pos="2835"/>
        </w:tabs>
        <w:suppressAutoHyphens/>
        <w:spacing w:line="276" w:lineRule="auto"/>
        <w:rPr>
          <w:rFonts w:cs="Arial"/>
          <w:spacing w:val="0"/>
          <w:kern w:val="16"/>
          <w:szCs w:val="24"/>
        </w:rPr>
      </w:pPr>
      <w:r>
        <w:rPr>
          <w:rFonts w:cs="Arial"/>
          <w:spacing w:val="0"/>
          <w:kern w:val="16"/>
          <w:szCs w:val="24"/>
        </w:rPr>
        <w:t xml:space="preserve">Se sugiere votar a </w:t>
      </w:r>
      <w:r w:rsidR="00DB608C">
        <w:rPr>
          <w:rFonts w:cs="Arial"/>
          <w:spacing w:val="0"/>
          <w:kern w:val="16"/>
          <w:szCs w:val="24"/>
        </w:rPr>
        <w:t xml:space="preserve">favor en general </w:t>
      </w:r>
    </w:p>
    <w:p w:rsidR="00DB608C" w:rsidRDefault="00DB608C" w:rsidP="00A07000">
      <w:pPr>
        <w:pStyle w:val="personal"/>
        <w:tabs>
          <w:tab w:val="left" w:pos="2835"/>
        </w:tabs>
        <w:suppressAutoHyphens/>
        <w:spacing w:line="276" w:lineRule="auto"/>
        <w:rPr>
          <w:rFonts w:cs="Arial"/>
          <w:spacing w:val="0"/>
          <w:kern w:val="16"/>
          <w:szCs w:val="24"/>
        </w:rPr>
      </w:pPr>
    </w:p>
    <w:p w:rsidR="00A07000" w:rsidRDefault="00A07000" w:rsidP="00A07000">
      <w:pPr>
        <w:pStyle w:val="personal"/>
        <w:tabs>
          <w:tab w:val="left" w:pos="2835"/>
        </w:tabs>
        <w:suppressAutoHyphens/>
        <w:spacing w:line="276" w:lineRule="auto"/>
        <w:rPr>
          <w:rFonts w:cs="Arial"/>
          <w:spacing w:val="0"/>
          <w:kern w:val="16"/>
          <w:szCs w:val="24"/>
        </w:rPr>
      </w:pPr>
      <w:bookmarkStart w:id="0" w:name="_GoBack"/>
      <w:bookmarkEnd w:id="0"/>
    </w:p>
    <w:sectPr w:rsidR="00A0700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0A5" w:rsidRDefault="005940A5" w:rsidP="006D24C6">
      <w:pPr>
        <w:spacing w:after="0" w:line="240" w:lineRule="auto"/>
      </w:pPr>
      <w:r>
        <w:separator/>
      </w:r>
    </w:p>
  </w:endnote>
  <w:endnote w:type="continuationSeparator" w:id="0">
    <w:p w:rsidR="005940A5" w:rsidRDefault="005940A5"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0A5" w:rsidRDefault="005940A5" w:rsidP="006D24C6">
      <w:pPr>
        <w:spacing w:after="0" w:line="240" w:lineRule="auto"/>
      </w:pPr>
      <w:r>
        <w:separator/>
      </w:r>
    </w:p>
  </w:footnote>
  <w:footnote w:type="continuationSeparator" w:id="0">
    <w:p w:rsidR="005940A5" w:rsidRDefault="005940A5"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C6" w:rsidRDefault="00C50218" w:rsidP="006D24C6">
    <w:pPr>
      <w:pStyle w:val="Encabezado"/>
      <w:jc w:val="right"/>
    </w:pPr>
    <w:r>
      <w:rPr>
        <w:rFonts w:ascii="Arial" w:hAnsi="Arial" w:cs="Arial"/>
        <w:b/>
        <w:caps/>
        <w:noProof/>
        <w:sz w:val="24"/>
        <w:szCs w:val="24"/>
        <w:u w:val="single"/>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6D24C6">
      <w:t>F</w:t>
    </w:r>
    <w:r>
      <w:t>undación Chile Mejor</w:t>
    </w:r>
  </w:p>
  <w:p w:rsidR="006D24C6" w:rsidRDefault="00C50218" w:rsidP="006D24C6">
    <w:pPr>
      <w:pStyle w:val="Encabezado"/>
      <w:jc w:val="right"/>
    </w:pPr>
    <w:r>
      <w:t>Subdirección de Asesoría Legislativa</w:t>
    </w:r>
  </w:p>
  <w:p w:rsidR="006D24C6" w:rsidRDefault="006D24C6" w:rsidP="006D24C6">
    <w:pPr>
      <w:pStyle w:val="Encabezado"/>
      <w:jc w:val="right"/>
    </w:pPr>
    <w:r>
      <w:t xml:space="preserve">Senadora </w:t>
    </w:r>
    <w:r w:rsidR="00D25567">
      <w:t>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B5BBF"/>
    <w:rsid w:val="000C6741"/>
    <w:rsid w:val="0012761F"/>
    <w:rsid w:val="001461D9"/>
    <w:rsid w:val="0022346D"/>
    <w:rsid w:val="00285D4B"/>
    <w:rsid w:val="00306BDF"/>
    <w:rsid w:val="0039746A"/>
    <w:rsid w:val="003D606D"/>
    <w:rsid w:val="00465667"/>
    <w:rsid w:val="004B58EF"/>
    <w:rsid w:val="00523564"/>
    <w:rsid w:val="00541DC9"/>
    <w:rsid w:val="00566225"/>
    <w:rsid w:val="00580712"/>
    <w:rsid w:val="005940A5"/>
    <w:rsid w:val="006C0308"/>
    <w:rsid w:val="006C3560"/>
    <w:rsid w:val="006D1FD9"/>
    <w:rsid w:val="006D24C6"/>
    <w:rsid w:val="007639C3"/>
    <w:rsid w:val="007D411A"/>
    <w:rsid w:val="007F6445"/>
    <w:rsid w:val="00857BD5"/>
    <w:rsid w:val="00864495"/>
    <w:rsid w:val="008D1F4C"/>
    <w:rsid w:val="009024F3"/>
    <w:rsid w:val="00923B03"/>
    <w:rsid w:val="00942F02"/>
    <w:rsid w:val="00947E73"/>
    <w:rsid w:val="009A67CF"/>
    <w:rsid w:val="009B0501"/>
    <w:rsid w:val="009F5BB1"/>
    <w:rsid w:val="00A0317B"/>
    <w:rsid w:val="00A07000"/>
    <w:rsid w:val="00A2699E"/>
    <w:rsid w:val="00A3222D"/>
    <w:rsid w:val="00A72F01"/>
    <w:rsid w:val="00AF12E8"/>
    <w:rsid w:val="00B12E50"/>
    <w:rsid w:val="00B43A63"/>
    <w:rsid w:val="00B55550"/>
    <w:rsid w:val="00B90AB9"/>
    <w:rsid w:val="00B95C20"/>
    <w:rsid w:val="00C31940"/>
    <w:rsid w:val="00C442D8"/>
    <w:rsid w:val="00C50218"/>
    <w:rsid w:val="00C70496"/>
    <w:rsid w:val="00CB0832"/>
    <w:rsid w:val="00D167DC"/>
    <w:rsid w:val="00D25567"/>
    <w:rsid w:val="00D60D2D"/>
    <w:rsid w:val="00DB608C"/>
    <w:rsid w:val="00DD597A"/>
    <w:rsid w:val="00E50334"/>
    <w:rsid w:val="00E64B8A"/>
    <w:rsid w:val="00E95B1B"/>
    <w:rsid w:val="00ED6915"/>
    <w:rsid w:val="00F109A5"/>
    <w:rsid w:val="00F375BE"/>
    <w:rsid w:val="00FB28D2"/>
    <w:rsid w:val="00FB547F"/>
    <w:rsid w:val="00FC2A96"/>
    <w:rsid w:val="00FD25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54FF"/>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0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personal">
    <w:name w:val="personal"/>
    <w:basedOn w:val="Normal"/>
    <w:rsid w:val="00A07000"/>
    <w:pPr>
      <w:spacing w:after="0" w:line="240" w:lineRule="auto"/>
      <w:jc w:val="both"/>
    </w:pPr>
    <w:rPr>
      <w:rFonts w:ascii="Arial" w:eastAsia="Times New Roman" w:hAnsi="Arial" w:cs="Times New Roman"/>
      <w:spacing w:val="6"/>
      <w:sz w:val="24"/>
      <w:szCs w:val="20"/>
      <w:lang w:val="es-ES_tradnl" w:eastAsia="es-ES"/>
    </w:rPr>
  </w:style>
  <w:style w:type="paragraph" w:customStyle="1" w:styleId="CharChar1">
    <w:name w:val="Char Char"/>
    <w:basedOn w:val="Normal"/>
    <w:rsid w:val="00306BDF"/>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C788-A82A-4B19-B1BB-64FBBCFA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4</cp:revision>
  <dcterms:created xsi:type="dcterms:W3CDTF">2018-10-08T12:30:00Z</dcterms:created>
  <dcterms:modified xsi:type="dcterms:W3CDTF">2018-10-08T20:14:00Z</dcterms:modified>
</cp:coreProperties>
</file>