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A5681ED" w14:textId="00231783" w:rsidR="00AC1566" w:rsidRPr="00BB0B44" w:rsidRDefault="009D245C" w:rsidP="00AC1566">
      <w:pPr>
        <w:keepNext/>
        <w:pBdr>
          <w:top w:val="single" w:sz="4" w:space="1" w:color="FFFFFF"/>
          <w:left w:val="single" w:sz="4" w:space="4" w:color="FFFFFF"/>
          <w:bottom w:val="single" w:sz="4" w:space="1" w:color="FFFFFF"/>
          <w:right w:val="single" w:sz="4" w:space="4" w:color="FFFFFF"/>
        </w:pBdr>
        <w:spacing w:after="0"/>
        <w:jc w:val="both"/>
        <w:outlineLvl w:val="1"/>
        <w:rPr>
          <w:rFonts w:ascii="Times New Roman" w:eastAsia="Times New Roman" w:hAnsi="Times New Roman" w:cs="Times New Roman"/>
          <w:bCs/>
          <w:sz w:val="24"/>
          <w:szCs w:val="24"/>
          <w:lang w:val="es-MX" w:eastAsia="es-MX"/>
        </w:rPr>
      </w:pPr>
      <w:r>
        <w:rPr>
          <w:rFonts w:ascii="Times New Roman" w:eastAsia="Times New Roman" w:hAnsi="Times New Roman" w:cs="Times New Roman"/>
          <w:bCs/>
          <w:noProof/>
          <w:sz w:val="24"/>
          <w:szCs w:val="24"/>
          <w:lang w:eastAsia="es-CL"/>
        </w:rPr>
        <mc:AlternateContent>
          <mc:Choice Requires="wps">
            <w:drawing>
              <wp:anchor distT="0" distB="0" distL="114300" distR="114300" simplePos="0" relativeHeight="251659264" behindDoc="0" locked="0" layoutInCell="1" allowOverlap="1" wp14:anchorId="57173FE2" wp14:editId="14BFB28E">
                <wp:simplePos x="0" y="0"/>
                <wp:positionH relativeFrom="column">
                  <wp:posOffset>-118110</wp:posOffset>
                </wp:positionH>
                <wp:positionV relativeFrom="paragraph">
                  <wp:posOffset>192405</wp:posOffset>
                </wp:positionV>
                <wp:extent cx="5699760" cy="2076450"/>
                <wp:effectExtent l="0" t="0" r="15240" b="1905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2076450"/>
                        </a:xfrm>
                        <a:prstGeom prst="rect">
                          <a:avLst/>
                        </a:prstGeom>
                        <a:noFill/>
                        <a:ln w="19050" algn="ctr">
                          <a:solidFill>
                            <a:srgbClr val="587993"/>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D26BFDE" w14:textId="3EFBCB53" w:rsidR="00CB00A1" w:rsidRDefault="00CB00A1" w:rsidP="00E21FB5">
                            <w:pPr>
                              <w:jc w:val="center"/>
                              <w:rPr>
                                <w:rFonts w:ascii="Calibri" w:hAnsi="Calibri"/>
                                <w:b/>
                                <w:color w:val="365F91"/>
                                <w:sz w:val="28"/>
                                <w:szCs w:val="28"/>
                              </w:rPr>
                            </w:pPr>
                            <w:r w:rsidRPr="00CB00A1">
                              <w:rPr>
                                <w:rFonts w:ascii="Calibri" w:hAnsi="Calibri"/>
                                <w:b/>
                                <w:color w:val="365F91"/>
                                <w:sz w:val="28"/>
                                <w:szCs w:val="28"/>
                              </w:rPr>
                              <w:t>Pro</w:t>
                            </w:r>
                            <w:r>
                              <w:rPr>
                                <w:rFonts w:ascii="Calibri" w:hAnsi="Calibri"/>
                                <w:b/>
                                <w:color w:val="365F91"/>
                                <w:sz w:val="28"/>
                                <w:szCs w:val="28"/>
                              </w:rPr>
                              <w:t>yecto de ley que implementa la Convención sobre la P</w:t>
                            </w:r>
                            <w:r w:rsidRPr="00CB00A1">
                              <w:rPr>
                                <w:rFonts w:ascii="Calibri" w:hAnsi="Calibri"/>
                                <w:b/>
                                <w:color w:val="365F91"/>
                                <w:sz w:val="28"/>
                                <w:szCs w:val="28"/>
                              </w:rPr>
                              <w:t xml:space="preserve">rohibición del </w:t>
                            </w:r>
                            <w:r>
                              <w:rPr>
                                <w:rFonts w:ascii="Calibri" w:hAnsi="Calibri"/>
                                <w:b/>
                                <w:color w:val="365F91"/>
                                <w:sz w:val="28"/>
                                <w:szCs w:val="28"/>
                              </w:rPr>
                              <w:t>Desarrollo, la Producción, el A</w:t>
                            </w:r>
                            <w:r w:rsidRPr="00CB00A1">
                              <w:rPr>
                                <w:rFonts w:ascii="Calibri" w:hAnsi="Calibri"/>
                                <w:b/>
                                <w:color w:val="365F91"/>
                                <w:sz w:val="28"/>
                                <w:szCs w:val="28"/>
                              </w:rPr>
                              <w:t>lmacenamiento y e</w:t>
                            </w:r>
                            <w:r>
                              <w:rPr>
                                <w:rFonts w:ascii="Calibri" w:hAnsi="Calibri"/>
                                <w:b/>
                                <w:color w:val="365F91"/>
                                <w:sz w:val="28"/>
                                <w:szCs w:val="28"/>
                              </w:rPr>
                              <w:t>l Empleo de Armas Químicas y sobre su Destrucción y la Convención sobre la Prohibición del Desarrollo, la Producción y el Almacenamiento de A</w:t>
                            </w:r>
                            <w:r w:rsidRPr="00CB00A1">
                              <w:rPr>
                                <w:rFonts w:ascii="Calibri" w:hAnsi="Calibri"/>
                                <w:b/>
                                <w:color w:val="365F91"/>
                                <w:sz w:val="28"/>
                                <w:szCs w:val="28"/>
                              </w:rPr>
                              <w:t xml:space="preserve">rmas </w:t>
                            </w:r>
                            <w:r>
                              <w:rPr>
                                <w:rFonts w:ascii="Calibri" w:hAnsi="Calibri"/>
                                <w:b/>
                                <w:color w:val="365F91"/>
                                <w:sz w:val="28"/>
                                <w:szCs w:val="28"/>
                              </w:rPr>
                              <w:t xml:space="preserve">Bacteriológicas (biológicas) y </w:t>
                            </w:r>
                            <w:proofErr w:type="spellStart"/>
                            <w:r>
                              <w:rPr>
                                <w:rFonts w:ascii="Calibri" w:hAnsi="Calibri"/>
                                <w:b/>
                                <w:color w:val="365F91"/>
                                <w:sz w:val="28"/>
                                <w:szCs w:val="28"/>
                              </w:rPr>
                              <w:t>T</w:t>
                            </w:r>
                            <w:r w:rsidRPr="00CB00A1">
                              <w:rPr>
                                <w:rFonts w:ascii="Calibri" w:hAnsi="Calibri"/>
                                <w:b/>
                                <w:color w:val="365F91"/>
                                <w:sz w:val="28"/>
                                <w:szCs w:val="28"/>
                              </w:rPr>
                              <w:t>oxínicas</w:t>
                            </w:r>
                            <w:proofErr w:type="spellEnd"/>
                            <w:r w:rsidRPr="00CB00A1">
                              <w:rPr>
                                <w:rFonts w:ascii="Calibri" w:hAnsi="Calibri"/>
                                <w:b/>
                                <w:color w:val="365F91"/>
                                <w:sz w:val="28"/>
                                <w:szCs w:val="28"/>
                              </w:rPr>
                              <w:t xml:space="preserve"> y sobre su </w:t>
                            </w:r>
                            <w:r>
                              <w:rPr>
                                <w:rFonts w:ascii="Calibri" w:hAnsi="Calibri"/>
                                <w:b/>
                                <w:color w:val="365F91"/>
                                <w:sz w:val="28"/>
                                <w:szCs w:val="28"/>
                              </w:rPr>
                              <w:t>D</w:t>
                            </w:r>
                            <w:r w:rsidRPr="00CB00A1">
                              <w:rPr>
                                <w:rFonts w:ascii="Calibri" w:hAnsi="Calibri"/>
                                <w:b/>
                                <w:color w:val="365F91"/>
                                <w:sz w:val="28"/>
                                <w:szCs w:val="28"/>
                              </w:rPr>
                              <w:t>estrucción.</w:t>
                            </w:r>
                          </w:p>
                          <w:p w14:paraId="755E9BA8" w14:textId="441F3AFC" w:rsidR="001D33AA" w:rsidRPr="00470C9D" w:rsidRDefault="001D33AA" w:rsidP="00E21FB5">
                            <w:pPr>
                              <w:jc w:val="center"/>
                              <w:rPr>
                                <w:rFonts w:ascii="Calibri" w:hAnsi="Calibri"/>
                                <w:b/>
                                <w:color w:val="365F91"/>
                                <w:sz w:val="28"/>
                                <w:szCs w:val="28"/>
                              </w:rPr>
                            </w:pPr>
                            <w:r w:rsidRPr="00E21FB5">
                              <w:rPr>
                                <w:rFonts w:ascii="Calibri" w:hAnsi="Calibri"/>
                                <w:b/>
                                <w:color w:val="365F91"/>
                                <w:sz w:val="28"/>
                                <w:szCs w:val="28"/>
                              </w:rPr>
                              <w:t>Boletín N°</w:t>
                            </w:r>
                            <w:r w:rsidR="00CB00A1">
                              <w:rPr>
                                <w:rFonts w:ascii="Calibri" w:hAnsi="Calibri"/>
                                <w:b/>
                                <w:color w:val="365F91"/>
                                <w:sz w:val="28"/>
                                <w:szCs w:val="28"/>
                              </w:rPr>
                              <w:t>11.919-02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7173FE2" id="_x0000_t202" coordsize="21600,21600" o:spt="202" path="m,l,21600r21600,l21600,xe">
                <v:stroke joinstyle="miter"/>
                <v:path gradientshapeok="t" o:connecttype="rect"/>
              </v:shapetype>
              <v:shape id="Cuadro de texto 1" o:spid="_x0000_s1026" type="#_x0000_t202" style="position:absolute;left:0;text-align:left;margin-left:-9.3pt;margin-top:15.15pt;width:448.8pt;height:1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wLfBQMAAFwGAAAOAAAAZHJzL2Uyb0RvYy54bWysVV1vmzAUfZ+0/2DxToGEz6ikSgiZJu1L&#10;6qY9O9gEa2Az2yl00/77rk2SJu3LNJVIyMb28T3nnntzezd2LXqgUjHBcye48R1EeSUI4/vc+fZ1&#10;66YOUhpzglvBae48UuXcLd++uR36BZ2JRrSESgQgXC2GPncarfuF56mqoR1WN6KnHBZrITusYSr3&#10;HpF4APSu9Wa+H3uDkKSXoqJKwdfNtOgsLX5d00p/rmtFNWpzB2LT9i3te2fe3vIWL/YS9w2rjmHg&#10;/4iiw4zDpWeoDdYYHSR7AdWxSgolan1Tic4Tdc0qajkAm8B/xua+wT21XEAc1Z9lUq8HW316+CIR&#10;I5A7B3HcQYqKAyZSIEKRpqMWKDAiDb1awN77HnbrcS1Gc8AQVv0HUf1QiIuiwXxPV1KKoaGYQJD2&#10;pHdxdMJRBmQ3fBQEbsMHLSzQWMvOAIImCNAhWY/nBEEcqIKPUZxlSQxLFazN/CQOI5tCDy9Ox3up&#10;9DsqOmQGuSPBARYeP3xQGojA1tMWcxsXW9a21gUtRwPEnPmAiXC7Bz9XWk4kRcuI2WgZy/2uaCV6&#10;wOCpKE2ybG4UAmB1ua1jGpzdsi53Ut88k9eMNCUn9kaNWTuN4XDLDTi1np1ChdmoYWi/gwLWT78z&#10;PyvTMg3dcBaXbuhvNu5qW4RuvA2SaDPfFMUm+GOiDsJFwwih3AR+8nYQ/pt3jlU2ufLs7iuC6lKH&#10;rX1e6uBdh2FlAlbXlFbbyE/CeeomSTR3w3npu+t0W7irIojjpFwX6/IZpdLKpF6H1VlzE5U4QNru&#10;GzIgwoyB5lE2g9IgDJrGLJkSeeEOJIX+znRjS9X41WBcKZP65ndU5ow+CXFKtpmd03Xk9iQVmONk&#10;BFtMpn6mStLjbgQnmQrbCfIIZQXh2NqBlgyDRshfDhqgveWO+nnAkjqofc+hNLMgDE0/tJMwSmYw&#10;kZcru8sVzCuAyh0NhWGHhZ566KGXbN/ATVMz4GIF5VwzW2hPUQEVM4EWZkkd263pkZdzu+vpT2H5&#10;FwAA//8DAFBLAwQUAAYACAAAACEA/sRj5OEAAAAKAQAADwAAAGRycy9kb3ducmV2LnhtbEyPwU7D&#10;MAyG70i8Q2QkLmhLR8valaZTNcSRwwYSHLMma8oSp2qyrfD0mBMcbX/6/f3VenKWnfUYeo8CFvME&#10;mMbWqx47AW+vz7MCWIgSlbQetYAvHWBdX19VslT+glt93sWOUQiGUgowMQ4l56E12skw94NGuh38&#10;6GSkcey4GuWFwp3l90my5E72SB+MHPTG6Pa4OzkB3++fZnPIGtvduaeXrMk/cHXMhLi9mZpHYFFP&#10;8Q+GX31Sh5qc9v6EKjArYLYoloQKSJMUGAFFvqJye1o85CnwuuL/K9Q/AAAA//8DAFBLAQItABQA&#10;BgAIAAAAIQC2gziS/gAAAOEBAAATAAAAAAAAAAAAAAAAAAAAAABbQ29udGVudF9UeXBlc10ueG1s&#10;UEsBAi0AFAAGAAgAAAAhADj9If/WAAAAlAEAAAsAAAAAAAAAAAAAAAAALwEAAF9yZWxzLy5yZWxz&#10;UEsBAi0AFAAGAAgAAAAhAICzAt8FAwAAXAYAAA4AAAAAAAAAAAAAAAAALgIAAGRycy9lMm9Eb2Mu&#10;eG1sUEsBAi0AFAAGAAgAAAAhAP7EY+ThAAAACgEAAA8AAAAAAAAAAAAAAAAAXwUAAGRycy9kb3du&#10;cmV2LnhtbFBLBQYAAAAABAAEAPMAAABtBgAAAAA=&#10;" filled="f" strokecolor="#587993" strokeweight="1.5pt">
                <v:textbox>
                  <w:txbxContent>
                    <w:p w14:paraId="7D26BFDE" w14:textId="3EFBCB53" w:rsidR="00CB00A1" w:rsidRDefault="00CB00A1" w:rsidP="00E21FB5">
                      <w:pPr>
                        <w:jc w:val="center"/>
                        <w:rPr>
                          <w:rFonts w:ascii="Calibri" w:hAnsi="Calibri"/>
                          <w:b/>
                          <w:color w:val="365F91"/>
                          <w:sz w:val="28"/>
                          <w:szCs w:val="28"/>
                        </w:rPr>
                      </w:pPr>
                      <w:r w:rsidRPr="00CB00A1">
                        <w:rPr>
                          <w:rFonts w:ascii="Calibri" w:hAnsi="Calibri"/>
                          <w:b/>
                          <w:color w:val="365F91"/>
                          <w:sz w:val="28"/>
                          <w:szCs w:val="28"/>
                        </w:rPr>
                        <w:t>Pro</w:t>
                      </w:r>
                      <w:r>
                        <w:rPr>
                          <w:rFonts w:ascii="Calibri" w:hAnsi="Calibri"/>
                          <w:b/>
                          <w:color w:val="365F91"/>
                          <w:sz w:val="28"/>
                          <w:szCs w:val="28"/>
                        </w:rPr>
                        <w:t>yecto de ley que implementa la Convención sobre la P</w:t>
                      </w:r>
                      <w:r w:rsidRPr="00CB00A1">
                        <w:rPr>
                          <w:rFonts w:ascii="Calibri" w:hAnsi="Calibri"/>
                          <w:b/>
                          <w:color w:val="365F91"/>
                          <w:sz w:val="28"/>
                          <w:szCs w:val="28"/>
                        </w:rPr>
                        <w:t xml:space="preserve">rohibición del </w:t>
                      </w:r>
                      <w:r>
                        <w:rPr>
                          <w:rFonts w:ascii="Calibri" w:hAnsi="Calibri"/>
                          <w:b/>
                          <w:color w:val="365F91"/>
                          <w:sz w:val="28"/>
                          <w:szCs w:val="28"/>
                        </w:rPr>
                        <w:t>Desarrollo, la Producción, el A</w:t>
                      </w:r>
                      <w:r w:rsidRPr="00CB00A1">
                        <w:rPr>
                          <w:rFonts w:ascii="Calibri" w:hAnsi="Calibri"/>
                          <w:b/>
                          <w:color w:val="365F91"/>
                          <w:sz w:val="28"/>
                          <w:szCs w:val="28"/>
                        </w:rPr>
                        <w:t>lmacenamiento y e</w:t>
                      </w:r>
                      <w:r>
                        <w:rPr>
                          <w:rFonts w:ascii="Calibri" w:hAnsi="Calibri"/>
                          <w:b/>
                          <w:color w:val="365F91"/>
                          <w:sz w:val="28"/>
                          <w:szCs w:val="28"/>
                        </w:rPr>
                        <w:t>l Empleo de Armas Químicas y sobre su Destrucción y la Convención sobre la Prohibición del Desarrollo, la Producción y el Almacenamiento de A</w:t>
                      </w:r>
                      <w:r w:rsidRPr="00CB00A1">
                        <w:rPr>
                          <w:rFonts w:ascii="Calibri" w:hAnsi="Calibri"/>
                          <w:b/>
                          <w:color w:val="365F91"/>
                          <w:sz w:val="28"/>
                          <w:szCs w:val="28"/>
                        </w:rPr>
                        <w:t xml:space="preserve">rmas </w:t>
                      </w:r>
                      <w:r>
                        <w:rPr>
                          <w:rFonts w:ascii="Calibri" w:hAnsi="Calibri"/>
                          <w:b/>
                          <w:color w:val="365F91"/>
                          <w:sz w:val="28"/>
                          <w:szCs w:val="28"/>
                        </w:rPr>
                        <w:t xml:space="preserve">Bacteriológicas (biológicas) y </w:t>
                      </w:r>
                      <w:proofErr w:type="spellStart"/>
                      <w:r>
                        <w:rPr>
                          <w:rFonts w:ascii="Calibri" w:hAnsi="Calibri"/>
                          <w:b/>
                          <w:color w:val="365F91"/>
                          <w:sz w:val="28"/>
                          <w:szCs w:val="28"/>
                        </w:rPr>
                        <w:t>T</w:t>
                      </w:r>
                      <w:r w:rsidRPr="00CB00A1">
                        <w:rPr>
                          <w:rFonts w:ascii="Calibri" w:hAnsi="Calibri"/>
                          <w:b/>
                          <w:color w:val="365F91"/>
                          <w:sz w:val="28"/>
                          <w:szCs w:val="28"/>
                        </w:rPr>
                        <w:t>oxínicas</w:t>
                      </w:r>
                      <w:proofErr w:type="spellEnd"/>
                      <w:r w:rsidRPr="00CB00A1">
                        <w:rPr>
                          <w:rFonts w:ascii="Calibri" w:hAnsi="Calibri"/>
                          <w:b/>
                          <w:color w:val="365F91"/>
                          <w:sz w:val="28"/>
                          <w:szCs w:val="28"/>
                        </w:rPr>
                        <w:t xml:space="preserve"> y sobre su </w:t>
                      </w:r>
                      <w:r>
                        <w:rPr>
                          <w:rFonts w:ascii="Calibri" w:hAnsi="Calibri"/>
                          <w:b/>
                          <w:color w:val="365F91"/>
                          <w:sz w:val="28"/>
                          <w:szCs w:val="28"/>
                        </w:rPr>
                        <w:t>D</w:t>
                      </w:r>
                      <w:r w:rsidRPr="00CB00A1">
                        <w:rPr>
                          <w:rFonts w:ascii="Calibri" w:hAnsi="Calibri"/>
                          <w:b/>
                          <w:color w:val="365F91"/>
                          <w:sz w:val="28"/>
                          <w:szCs w:val="28"/>
                        </w:rPr>
                        <w:t>estrucción.</w:t>
                      </w:r>
                    </w:p>
                    <w:p w14:paraId="755E9BA8" w14:textId="441F3AFC" w:rsidR="001D33AA" w:rsidRPr="00470C9D" w:rsidRDefault="001D33AA" w:rsidP="00E21FB5">
                      <w:pPr>
                        <w:jc w:val="center"/>
                        <w:rPr>
                          <w:rFonts w:ascii="Calibri" w:hAnsi="Calibri"/>
                          <w:b/>
                          <w:color w:val="365F91"/>
                          <w:sz w:val="28"/>
                          <w:szCs w:val="28"/>
                        </w:rPr>
                      </w:pPr>
                      <w:r w:rsidRPr="00E21FB5">
                        <w:rPr>
                          <w:rFonts w:ascii="Calibri" w:hAnsi="Calibri"/>
                          <w:b/>
                          <w:color w:val="365F91"/>
                          <w:sz w:val="28"/>
                          <w:szCs w:val="28"/>
                        </w:rPr>
                        <w:t>Boletín N°</w:t>
                      </w:r>
                      <w:r w:rsidR="00CB00A1">
                        <w:rPr>
                          <w:rFonts w:ascii="Calibri" w:hAnsi="Calibri"/>
                          <w:b/>
                          <w:color w:val="365F91"/>
                          <w:sz w:val="28"/>
                          <w:szCs w:val="28"/>
                        </w:rPr>
                        <w:t>11.919-02</w:t>
                      </w:r>
                    </w:p>
                  </w:txbxContent>
                </v:textbox>
              </v:shape>
            </w:pict>
          </mc:Fallback>
        </mc:AlternateContent>
      </w:r>
    </w:p>
    <w:p w14:paraId="23C329C8" w14:textId="77777777" w:rsidR="00AC1566" w:rsidRPr="00BB0B44" w:rsidRDefault="00AC1566" w:rsidP="00AC1566">
      <w:pPr>
        <w:keepNext/>
        <w:pBdr>
          <w:top w:val="single" w:sz="4" w:space="1" w:color="FFFFFF"/>
          <w:left w:val="single" w:sz="4" w:space="4" w:color="FFFFFF"/>
          <w:bottom w:val="single" w:sz="4" w:space="1" w:color="FFFFFF"/>
          <w:right w:val="single" w:sz="4" w:space="4" w:color="FFFFFF"/>
        </w:pBdr>
        <w:spacing w:after="0"/>
        <w:jc w:val="both"/>
        <w:outlineLvl w:val="1"/>
        <w:rPr>
          <w:rFonts w:ascii="Times New Roman" w:eastAsia="Times New Roman" w:hAnsi="Times New Roman" w:cs="Times New Roman"/>
          <w:bCs/>
          <w:sz w:val="24"/>
          <w:szCs w:val="24"/>
          <w:lang w:val="es-MX" w:eastAsia="es-MX"/>
        </w:rPr>
      </w:pPr>
    </w:p>
    <w:p w14:paraId="1126987A" w14:textId="77777777" w:rsidR="00AC1566" w:rsidRPr="00BB0B44" w:rsidRDefault="00AC1566" w:rsidP="00AC1566">
      <w:pPr>
        <w:spacing w:after="0"/>
        <w:jc w:val="both"/>
        <w:rPr>
          <w:rFonts w:ascii="Times New Roman" w:eastAsia="Times New Roman" w:hAnsi="Times New Roman" w:cs="Times New Roman"/>
          <w:sz w:val="24"/>
          <w:szCs w:val="24"/>
          <w:lang w:val="es-MX" w:eastAsia="es-MX"/>
        </w:rPr>
      </w:pPr>
    </w:p>
    <w:p w14:paraId="10B44A5A" w14:textId="77777777" w:rsidR="00AC1566" w:rsidRPr="00BB0B44" w:rsidRDefault="00AC1566" w:rsidP="00AC1566">
      <w:pPr>
        <w:spacing w:after="0"/>
        <w:jc w:val="both"/>
        <w:rPr>
          <w:rFonts w:ascii="Times New Roman" w:eastAsia="Times New Roman" w:hAnsi="Times New Roman" w:cs="Times New Roman"/>
          <w:sz w:val="24"/>
          <w:szCs w:val="24"/>
          <w:lang w:val="es-MX" w:eastAsia="es-MX"/>
        </w:rPr>
      </w:pPr>
    </w:p>
    <w:p w14:paraId="6F9523DA" w14:textId="77777777" w:rsidR="00AC1566" w:rsidRDefault="00AC1566" w:rsidP="00AC1566">
      <w:pPr>
        <w:spacing w:after="0"/>
        <w:jc w:val="both"/>
        <w:rPr>
          <w:rFonts w:ascii="Times New Roman" w:eastAsia="Times New Roman" w:hAnsi="Times New Roman" w:cs="Times New Roman"/>
          <w:sz w:val="24"/>
          <w:szCs w:val="24"/>
          <w:lang w:val="es-MX" w:eastAsia="es-MX"/>
        </w:rPr>
      </w:pPr>
    </w:p>
    <w:p w14:paraId="478D5523" w14:textId="77777777" w:rsidR="00AC1566" w:rsidRPr="00BB0B44" w:rsidRDefault="00AC1566" w:rsidP="00AC1566">
      <w:pPr>
        <w:spacing w:after="0"/>
        <w:jc w:val="both"/>
        <w:rPr>
          <w:rFonts w:ascii="Times New Roman" w:eastAsia="Times New Roman" w:hAnsi="Times New Roman" w:cs="Times New Roman"/>
          <w:sz w:val="24"/>
          <w:szCs w:val="24"/>
          <w:lang w:val="es-MX" w:eastAsia="es-MX"/>
        </w:rPr>
      </w:pPr>
    </w:p>
    <w:p w14:paraId="1407EBC5" w14:textId="77777777" w:rsidR="00774CB9" w:rsidRDefault="00774CB9" w:rsidP="00774CB9">
      <w:pPr>
        <w:spacing w:after="0"/>
        <w:contextualSpacing/>
        <w:jc w:val="both"/>
        <w:rPr>
          <w:rFonts w:cstheme="minorHAnsi"/>
          <w:b/>
          <w:sz w:val="24"/>
          <w:szCs w:val="24"/>
        </w:rPr>
      </w:pPr>
    </w:p>
    <w:p w14:paraId="2783815C" w14:textId="751CD56B" w:rsidR="003870B5" w:rsidRDefault="003870B5" w:rsidP="00721E24">
      <w:pPr>
        <w:spacing w:after="0"/>
        <w:contextualSpacing/>
        <w:jc w:val="both"/>
        <w:rPr>
          <w:rFonts w:cstheme="minorHAnsi"/>
          <w:b/>
          <w:sz w:val="24"/>
          <w:szCs w:val="24"/>
        </w:rPr>
      </w:pPr>
    </w:p>
    <w:p w14:paraId="6E34588A" w14:textId="69358AE9" w:rsidR="00CB00A1" w:rsidRDefault="00CB00A1" w:rsidP="00721E24">
      <w:pPr>
        <w:spacing w:after="0"/>
        <w:contextualSpacing/>
        <w:jc w:val="both"/>
        <w:rPr>
          <w:rFonts w:cstheme="minorHAnsi"/>
          <w:b/>
          <w:sz w:val="24"/>
          <w:szCs w:val="24"/>
        </w:rPr>
      </w:pPr>
    </w:p>
    <w:p w14:paraId="461EF252" w14:textId="529B9E2F" w:rsidR="00CB00A1" w:rsidRDefault="00CB00A1" w:rsidP="00721E24">
      <w:pPr>
        <w:spacing w:after="0"/>
        <w:contextualSpacing/>
        <w:jc w:val="both"/>
        <w:rPr>
          <w:rFonts w:cstheme="minorHAnsi"/>
          <w:b/>
          <w:sz w:val="24"/>
          <w:szCs w:val="24"/>
        </w:rPr>
      </w:pPr>
    </w:p>
    <w:p w14:paraId="371058B3" w14:textId="0927ACE3" w:rsidR="00CB00A1" w:rsidRDefault="00CB00A1" w:rsidP="00721E24">
      <w:pPr>
        <w:spacing w:after="0"/>
        <w:contextualSpacing/>
        <w:jc w:val="both"/>
        <w:rPr>
          <w:rFonts w:cstheme="minorHAnsi"/>
          <w:b/>
          <w:sz w:val="24"/>
          <w:szCs w:val="24"/>
        </w:rPr>
      </w:pPr>
    </w:p>
    <w:p w14:paraId="52203C7B" w14:textId="77777777" w:rsidR="00CB00A1" w:rsidRDefault="00CB00A1" w:rsidP="00721E24">
      <w:pPr>
        <w:spacing w:after="0"/>
        <w:contextualSpacing/>
        <w:jc w:val="both"/>
        <w:rPr>
          <w:rFonts w:cstheme="minorHAnsi"/>
          <w:b/>
          <w:sz w:val="24"/>
          <w:szCs w:val="24"/>
        </w:rPr>
      </w:pPr>
    </w:p>
    <w:p w14:paraId="27AB377C" w14:textId="079CDAD3" w:rsidR="00AC1566" w:rsidRPr="00BB0B44" w:rsidRDefault="00B941FA" w:rsidP="00AC1566">
      <w:pPr>
        <w:numPr>
          <w:ilvl w:val="0"/>
          <w:numId w:val="1"/>
        </w:numPr>
        <w:spacing w:after="0"/>
        <w:ind w:left="0"/>
        <w:contextualSpacing/>
        <w:jc w:val="both"/>
        <w:rPr>
          <w:rFonts w:cstheme="minorHAnsi"/>
          <w:b/>
          <w:sz w:val="24"/>
          <w:szCs w:val="24"/>
        </w:rPr>
      </w:pPr>
      <w:r w:rsidRPr="00BB0B44">
        <w:rPr>
          <w:rFonts w:cstheme="minorHAnsi"/>
          <w:b/>
          <w:sz w:val="24"/>
          <w:szCs w:val="24"/>
        </w:rPr>
        <w:t>ORIGEN Y TRAMITACIÓN</w:t>
      </w:r>
    </w:p>
    <w:p w14:paraId="6E7C6610" w14:textId="77777777" w:rsidR="00AC1566" w:rsidRPr="00BB0B44" w:rsidRDefault="00AC1566" w:rsidP="00AC1566">
      <w:pPr>
        <w:spacing w:after="0"/>
        <w:jc w:val="both"/>
        <w:rPr>
          <w:rFonts w:cstheme="minorHAnsi"/>
          <w:sz w:val="24"/>
          <w:szCs w:val="24"/>
        </w:rPr>
      </w:pPr>
    </w:p>
    <w:p w14:paraId="43051CD2" w14:textId="59145DC5" w:rsidR="005C7E1A" w:rsidRPr="009C1070" w:rsidRDefault="001C4F51" w:rsidP="005C7E1A">
      <w:pPr>
        <w:spacing w:after="0" w:line="360" w:lineRule="auto"/>
        <w:jc w:val="both"/>
        <w:rPr>
          <w:rFonts w:cstheme="minorHAnsi"/>
          <w:szCs w:val="24"/>
        </w:rPr>
      </w:pPr>
      <w:r w:rsidRPr="009C1070">
        <w:rPr>
          <w:rFonts w:cstheme="minorHAnsi"/>
          <w:szCs w:val="24"/>
        </w:rPr>
        <w:t xml:space="preserve">Este proyecto </w:t>
      </w:r>
      <w:r w:rsidR="00E21FB5" w:rsidRPr="009C1070">
        <w:rPr>
          <w:rFonts w:cstheme="minorHAnsi"/>
          <w:szCs w:val="24"/>
        </w:rPr>
        <w:t xml:space="preserve">de ley es un mensaje, el cual fue ingresado el día </w:t>
      </w:r>
      <w:r w:rsidR="00CB00A1" w:rsidRPr="009C1070">
        <w:rPr>
          <w:rFonts w:cstheme="minorHAnsi"/>
          <w:szCs w:val="24"/>
        </w:rPr>
        <w:t>13 de julio de 2018</w:t>
      </w:r>
      <w:r w:rsidR="00E21FB5" w:rsidRPr="009C1070">
        <w:rPr>
          <w:rFonts w:cstheme="minorHAnsi"/>
          <w:szCs w:val="24"/>
        </w:rPr>
        <w:t>,</w:t>
      </w:r>
      <w:r w:rsidR="00CB00A1" w:rsidRPr="009C1070">
        <w:rPr>
          <w:rFonts w:cstheme="minorHAnsi"/>
          <w:szCs w:val="24"/>
        </w:rPr>
        <w:t xml:space="preserve"> a</w:t>
      </w:r>
      <w:r w:rsidR="00E21FB5" w:rsidRPr="009C1070">
        <w:rPr>
          <w:rFonts w:cstheme="minorHAnsi"/>
          <w:szCs w:val="24"/>
        </w:rPr>
        <w:t xml:space="preserve">ctualmente se encuentra en </w:t>
      </w:r>
      <w:r w:rsidR="00CB00A1" w:rsidRPr="009C1070">
        <w:rPr>
          <w:rFonts w:cstheme="minorHAnsi"/>
          <w:szCs w:val="24"/>
        </w:rPr>
        <w:t>Primer</w:t>
      </w:r>
      <w:r w:rsidR="00E21FB5" w:rsidRPr="009C1070">
        <w:rPr>
          <w:rFonts w:cstheme="minorHAnsi"/>
          <w:szCs w:val="24"/>
        </w:rPr>
        <w:t xml:space="preserve"> Trámite Con</w:t>
      </w:r>
      <w:r w:rsidR="00682992" w:rsidRPr="009C1070">
        <w:rPr>
          <w:rFonts w:cstheme="minorHAnsi"/>
          <w:szCs w:val="24"/>
        </w:rPr>
        <w:t xml:space="preserve">stitucional y </w:t>
      </w:r>
      <w:r w:rsidR="00CB00A1" w:rsidRPr="009C1070">
        <w:rPr>
          <w:rFonts w:cstheme="minorHAnsi"/>
          <w:szCs w:val="24"/>
        </w:rPr>
        <w:t>tiene Urgencia Simple.</w:t>
      </w:r>
    </w:p>
    <w:p w14:paraId="0C24600D" w14:textId="77777777" w:rsidR="005C7E1A" w:rsidRPr="00BB0B44" w:rsidRDefault="005C7E1A" w:rsidP="005C7E1A">
      <w:pPr>
        <w:spacing w:after="0" w:line="360" w:lineRule="auto"/>
        <w:jc w:val="both"/>
        <w:rPr>
          <w:rFonts w:cstheme="minorHAnsi"/>
          <w:sz w:val="24"/>
          <w:szCs w:val="24"/>
        </w:rPr>
      </w:pPr>
    </w:p>
    <w:p w14:paraId="56B2FF26" w14:textId="5BAB46C7" w:rsidR="00682992" w:rsidRDefault="00682992" w:rsidP="00682992">
      <w:pPr>
        <w:pStyle w:val="Prrafodelista"/>
        <w:numPr>
          <w:ilvl w:val="0"/>
          <w:numId w:val="1"/>
        </w:numPr>
        <w:spacing w:after="0" w:line="360" w:lineRule="auto"/>
        <w:ind w:left="0"/>
        <w:jc w:val="both"/>
        <w:rPr>
          <w:rFonts w:cstheme="minorHAnsi"/>
          <w:b/>
          <w:sz w:val="24"/>
          <w:szCs w:val="24"/>
        </w:rPr>
      </w:pPr>
      <w:r>
        <w:rPr>
          <w:rFonts w:cstheme="minorHAnsi"/>
          <w:b/>
          <w:sz w:val="24"/>
          <w:szCs w:val="24"/>
        </w:rPr>
        <w:t>ANTECEDENTES</w:t>
      </w:r>
      <w:r w:rsidR="00CD2A82">
        <w:rPr>
          <w:rFonts w:cstheme="minorHAnsi"/>
          <w:b/>
          <w:sz w:val="24"/>
          <w:szCs w:val="24"/>
        </w:rPr>
        <w:t xml:space="preserve"> Y FUNDAMENTOS</w:t>
      </w:r>
      <w:r w:rsidR="009951E4">
        <w:rPr>
          <w:rStyle w:val="Refdenotaalpie"/>
          <w:rFonts w:cstheme="minorHAnsi"/>
          <w:b/>
          <w:sz w:val="24"/>
          <w:szCs w:val="24"/>
        </w:rPr>
        <w:footnoteReference w:id="1"/>
      </w:r>
    </w:p>
    <w:p w14:paraId="55EC15D2" w14:textId="25F9F710" w:rsidR="00682992" w:rsidRPr="009C1070" w:rsidRDefault="00682992" w:rsidP="00682992">
      <w:pPr>
        <w:spacing w:after="0" w:line="360" w:lineRule="auto"/>
        <w:jc w:val="both"/>
        <w:rPr>
          <w:rFonts w:cstheme="minorHAnsi"/>
          <w:szCs w:val="24"/>
        </w:rPr>
      </w:pPr>
    </w:p>
    <w:p w14:paraId="3EBB9E6E" w14:textId="331F5195" w:rsidR="00FD01D1" w:rsidRPr="009C1070" w:rsidRDefault="00CD2A82" w:rsidP="00682992">
      <w:pPr>
        <w:spacing w:after="0" w:line="360" w:lineRule="auto"/>
        <w:jc w:val="both"/>
        <w:rPr>
          <w:rFonts w:cstheme="minorHAnsi"/>
          <w:szCs w:val="24"/>
        </w:rPr>
      </w:pPr>
      <w:r w:rsidRPr="009C1070">
        <w:rPr>
          <w:rFonts w:cstheme="minorHAnsi"/>
          <w:szCs w:val="24"/>
        </w:rPr>
        <w:t>Este proyecto de ley se basa principalmente en dos convenciones firmadas y ratificadas por Chile. La primera es la Convención sobre la Prohibición del Desarrollo, la Producción, el Almacenamiento y el Empleo de Armas Químicas y sobre su Destrucción (en adelante CAQ)</w:t>
      </w:r>
      <w:r w:rsidR="00FD01D1" w:rsidRPr="009C1070">
        <w:rPr>
          <w:rFonts w:cstheme="minorHAnsi"/>
          <w:szCs w:val="24"/>
        </w:rPr>
        <w:t>,</w:t>
      </w:r>
      <w:r w:rsidR="0062781F" w:rsidRPr="009C1070">
        <w:rPr>
          <w:rFonts w:cstheme="minorHAnsi"/>
          <w:szCs w:val="24"/>
        </w:rPr>
        <w:t xml:space="preserve"> la cual fue incorporada a nuestro ordenamiento jurídico</w:t>
      </w:r>
      <w:r w:rsidR="0062781F" w:rsidRPr="009C1070">
        <w:rPr>
          <w:rFonts w:cstheme="minorHAnsi"/>
          <w:b/>
          <w:szCs w:val="24"/>
        </w:rPr>
        <w:t xml:space="preserve"> el 02 de diciembre de 1996</w:t>
      </w:r>
      <w:r w:rsidR="0062781F" w:rsidRPr="009C1070">
        <w:rPr>
          <w:rFonts w:cstheme="minorHAnsi"/>
          <w:szCs w:val="24"/>
        </w:rPr>
        <w:t xml:space="preserve">. Y la Convención </w:t>
      </w:r>
      <w:r w:rsidR="00D11713" w:rsidRPr="009C1070">
        <w:rPr>
          <w:rFonts w:cstheme="minorHAnsi"/>
          <w:szCs w:val="24"/>
        </w:rPr>
        <w:t xml:space="preserve">sobre la Prohibición del Desarrollo, la Producción, el Almacenamiento y el Empleo de Armas </w:t>
      </w:r>
      <w:r w:rsidR="00EA29E3" w:rsidRPr="009C1070">
        <w:rPr>
          <w:rFonts w:cstheme="minorHAnsi"/>
          <w:szCs w:val="24"/>
        </w:rPr>
        <w:t xml:space="preserve">Bacteriológicas (Biológicas) y </w:t>
      </w:r>
      <w:proofErr w:type="spellStart"/>
      <w:r w:rsidR="00EA29E3" w:rsidRPr="009C1070">
        <w:rPr>
          <w:rFonts w:cstheme="minorHAnsi"/>
          <w:szCs w:val="24"/>
        </w:rPr>
        <w:t>T</w:t>
      </w:r>
      <w:r w:rsidR="00FD01D1" w:rsidRPr="009C1070">
        <w:rPr>
          <w:rFonts w:cstheme="minorHAnsi"/>
          <w:szCs w:val="24"/>
        </w:rPr>
        <w:t>oxínicas</w:t>
      </w:r>
      <w:proofErr w:type="spellEnd"/>
      <w:r w:rsidR="00FD01D1" w:rsidRPr="009C1070">
        <w:rPr>
          <w:rFonts w:cstheme="minorHAnsi"/>
          <w:szCs w:val="24"/>
        </w:rPr>
        <w:t xml:space="preserve"> y sobre su Destrucción (en adelante CABT), la que entró en vigencia el </w:t>
      </w:r>
      <w:r w:rsidR="00FD01D1" w:rsidRPr="009C1070">
        <w:rPr>
          <w:rFonts w:cstheme="minorHAnsi"/>
          <w:b/>
          <w:szCs w:val="24"/>
        </w:rPr>
        <w:t xml:space="preserve">07 de julio de 1980. </w:t>
      </w:r>
      <w:r w:rsidR="00FD01D1" w:rsidRPr="009C1070">
        <w:rPr>
          <w:rFonts w:cstheme="minorHAnsi"/>
          <w:szCs w:val="24"/>
        </w:rPr>
        <w:t xml:space="preserve">Estos instrumentos internacionales requieren de un marco jurídico nacional que asegure el pleno cumplimiento de sus objetivos. </w:t>
      </w:r>
    </w:p>
    <w:p w14:paraId="538982D7" w14:textId="5D6D5768" w:rsidR="00FD01D1" w:rsidRPr="009C1070" w:rsidRDefault="00FD01D1" w:rsidP="00682992">
      <w:pPr>
        <w:spacing w:after="0" w:line="360" w:lineRule="auto"/>
        <w:jc w:val="both"/>
        <w:rPr>
          <w:rFonts w:cstheme="minorHAnsi"/>
          <w:szCs w:val="24"/>
        </w:rPr>
      </w:pPr>
    </w:p>
    <w:p w14:paraId="46BF20CD" w14:textId="0C744A9F" w:rsidR="00FD01D1" w:rsidRPr="009C1070" w:rsidRDefault="00573C1B" w:rsidP="00682992">
      <w:pPr>
        <w:spacing w:after="0" w:line="360" w:lineRule="auto"/>
        <w:jc w:val="both"/>
        <w:rPr>
          <w:rFonts w:cstheme="minorHAnsi"/>
          <w:szCs w:val="24"/>
        </w:rPr>
      </w:pPr>
      <w:r w:rsidRPr="009C1070">
        <w:rPr>
          <w:rFonts w:cstheme="minorHAnsi"/>
          <w:szCs w:val="24"/>
        </w:rPr>
        <w:t>Estas convenciones tienen su origen en el Protocolo de Ginebra de 1925, sobre Prohibición en la Guerra de Gases Asfixiantes, Tóxicos o similares y Medios Bacteriológicos, la cual fue incorporada en 1935 a nuestro ordenamiento jurídico, la que surge luego de las experiencias de la Primera Guerra Mundial.</w:t>
      </w:r>
    </w:p>
    <w:p w14:paraId="645F5EBF" w14:textId="39C2ACF0" w:rsidR="00573C1B" w:rsidRPr="009C1070" w:rsidRDefault="00573C1B" w:rsidP="00682992">
      <w:pPr>
        <w:spacing w:after="0" w:line="360" w:lineRule="auto"/>
        <w:jc w:val="both"/>
        <w:rPr>
          <w:rFonts w:cstheme="minorHAnsi"/>
          <w:szCs w:val="24"/>
        </w:rPr>
      </w:pPr>
    </w:p>
    <w:p w14:paraId="7C714E12" w14:textId="58AB21CE" w:rsidR="00573C1B" w:rsidRPr="009C1070" w:rsidRDefault="00573C1B" w:rsidP="00682992">
      <w:pPr>
        <w:spacing w:after="0" w:line="360" w:lineRule="auto"/>
        <w:jc w:val="both"/>
        <w:rPr>
          <w:rFonts w:cstheme="minorHAnsi"/>
          <w:szCs w:val="24"/>
        </w:rPr>
      </w:pPr>
      <w:r w:rsidRPr="009C1070">
        <w:rPr>
          <w:rFonts w:cstheme="minorHAnsi"/>
          <w:szCs w:val="24"/>
        </w:rPr>
        <w:t>La CAQ fue promovida por la Conferencia de Desarme de Naciones Unidas, en 1993, la que fue suscrita por 130 países en 3 días, siendo el primer tratado de desarme global, el cual estipula plazos para la eliminación de toda categoría de armas de destrucción masiva, que incorpora un régimen de verificación de amplio alcance, estableciendo la Organización para la Prohibición de las Armas Químicas (OPAQ). Como consecuencia de esto, se designó a la Dirección General de Movilización Nacional</w:t>
      </w:r>
      <w:r w:rsidR="009F1788" w:rsidRPr="009C1070">
        <w:rPr>
          <w:rFonts w:cstheme="minorHAnsi"/>
          <w:szCs w:val="24"/>
        </w:rPr>
        <w:t xml:space="preserve"> (DGMN)</w:t>
      </w:r>
      <w:r w:rsidRPr="009C1070">
        <w:rPr>
          <w:rFonts w:cstheme="minorHAnsi"/>
          <w:szCs w:val="24"/>
        </w:rPr>
        <w:t>, dependiente del Ministerio de Defensa.</w:t>
      </w:r>
    </w:p>
    <w:p w14:paraId="4ACAE526" w14:textId="64C5BCDE" w:rsidR="00573C1B" w:rsidRPr="009C1070" w:rsidRDefault="00573C1B" w:rsidP="00682992">
      <w:pPr>
        <w:spacing w:after="0" w:line="360" w:lineRule="auto"/>
        <w:jc w:val="both"/>
        <w:rPr>
          <w:rFonts w:cstheme="minorHAnsi"/>
          <w:szCs w:val="24"/>
        </w:rPr>
      </w:pPr>
    </w:p>
    <w:p w14:paraId="10EB773A" w14:textId="746AD92B" w:rsidR="00573C1B" w:rsidRPr="009C1070" w:rsidRDefault="00573C1B" w:rsidP="00682992">
      <w:pPr>
        <w:spacing w:after="0" w:line="360" w:lineRule="auto"/>
        <w:jc w:val="both"/>
        <w:rPr>
          <w:rFonts w:cstheme="minorHAnsi"/>
          <w:szCs w:val="24"/>
        </w:rPr>
      </w:pPr>
      <w:r w:rsidRPr="009C1070">
        <w:rPr>
          <w:rFonts w:cstheme="minorHAnsi"/>
          <w:szCs w:val="24"/>
        </w:rPr>
        <w:t xml:space="preserve">La CAQ establece que los Estados partes deberán adoptar las medidas necesarias en el ordenamiento jurídico interno para cumplir las obligaciones contraídas. Por lo que exige </w:t>
      </w:r>
      <w:r w:rsidR="009F1788" w:rsidRPr="009C1070">
        <w:rPr>
          <w:rFonts w:cstheme="minorHAnsi"/>
          <w:szCs w:val="24"/>
        </w:rPr>
        <w:t>promulgar leyes penales para quienes realicen cualquier actividad prohibida por la Convención, ya sea dentro o fuera del territorio del país y, además, la obligación de informar a la OPAQ las medidas adoptadas.</w:t>
      </w:r>
    </w:p>
    <w:p w14:paraId="188287C1" w14:textId="629EA737" w:rsidR="009F1788" w:rsidRPr="009C1070" w:rsidRDefault="009F1788" w:rsidP="00682992">
      <w:pPr>
        <w:spacing w:after="0" w:line="360" w:lineRule="auto"/>
        <w:jc w:val="both"/>
        <w:rPr>
          <w:rFonts w:cstheme="minorHAnsi"/>
          <w:szCs w:val="24"/>
        </w:rPr>
      </w:pPr>
    </w:p>
    <w:p w14:paraId="7B81DA58" w14:textId="5DFAC4FD" w:rsidR="009F1788" w:rsidRPr="009C1070" w:rsidRDefault="009F1788" w:rsidP="00682992">
      <w:pPr>
        <w:spacing w:after="0" w:line="360" w:lineRule="auto"/>
        <w:jc w:val="both"/>
        <w:rPr>
          <w:rFonts w:cstheme="minorHAnsi"/>
          <w:szCs w:val="24"/>
        </w:rPr>
      </w:pPr>
      <w:r w:rsidRPr="009C1070">
        <w:rPr>
          <w:rFonts w:cstheme="minorHAnsi"/>
          <w:szCs w:val="24"/>
        </w:rPr>
        <w:t xml:space="preserve">Sobre la CABT, se designa como autoridad Nacional a la Dirección General de Movilización Nacional, sin embargo, ésta carece de obligaciones en los mismos términos que la CAQ y es por esto que el país no cuenta aún con un correlato en el ordenamiento jurídico interno que se adecue a la convención, regulando y controlando los agentes y vectores biológicos, permitiendo su uso para fines pacíficos, a objeto de evitar el desarrollo de armas bacteriológicas (biológicas) o </w:t>
      </w:r>
      <w:proofErr w:type="spellStart"/>
      <w:r w:rsidRPr="009C1070">
        <w:rPr>
          <w:rFonts w:cstheme="minorHAnsi"/>
          <w:szCs w:val="24"/>
        </w:rPr>
        <w:t>toxínicas</w:t>
      </w:r>
      <w:proofErr w:type="spellEnd"/>
      <w:r w:rsidRPr="009C1070">
        <w:rPr>
          <w:rFonts w:cstheme="minorHAnsi"/>
          <w:szCs w:val="24"/>
        </w:rPr>
        <w:t>.</w:t>
      </w:r>
    </w:p>
    <w:p w14:paraId="7864147B" w14:textId="327299DC" w:rsidR="009F1788" w:rsidRPr="009C1070" w:rsidRDefault="009F1788" w:rsidP="00682992">
      <w:pPr>
        <w:spacing w:after="0" w:line="360" w:lineRule="auto"/>
        <w:jc w:val="both"/>
        <w:rPr>
          <w:rFonts w:cstheme="minorHAnsi"/>
          <w:szCs w:val="24"/>
        </w:rPr>
      </w:pPr>
    </w:p>
    <w:p w14:paraId="47E025D8" w14:textId="19824CC0" w:rsidR="00485241" w:rsidRPr="009C1070" w:rsidRDefault="009F1788" w:rsidP="00682992">
      <w:pPr>
        <w:spacing w:after="0" w:line="360" w:lineRule="auto"/>
        <w:jc w:val="both"/>
        <w:rPr>
          <w:rFonts w:cstheme="minorHAnsi"/>
          <w:szCs w:val="24"/>
        </w:rPr>
      </w:pPr>
      <w:r w:rsidRPr="009C1070">
        <w:rPr>
          <w:rFonts w:cstheme="minorHAnsi"/>
          <w:szCs w:val="24"/>
        </w:rPr>
        <w:t xml:space="preserve">El desarme es un compromiso político adoptado por décadas, y es por esto que se debe avanzar hacia la completa implementación de ambas Convenciones, para dotar de mayor eficiencia a los controles existentes, para evitar acumulaciones desestabilizadoras y, además, impedir el desvío, transferencia y adquisición de insumos por terroristas o grupos anarquistas que atenten contra la paz y la seguridad </w:t>
      </w:r>
      <w:r w:rsidR="00485241" w:rsidRPr="009C1070">
        <w:rPr>
          <w:rFonts w:cstheme="minorHAnsi"/>
          <w:szCs w:val="24"/>
        </w:rPr>
        <w:t>nacional.</w:t>
      </w:r>
    </w:p>
    <w:p w14:paraId="4A3D9C8E" w14:textId="3227022B" w:rsidR="009F480C" w:rsidRPr="009C1070" w:rsidRDefault="00485241" w:rsidP="00682992">
      <w:pPr>
        <w:spacing w:after="0" w:line="360" w:lineRule="auto"/>
        <w:jc w:val="both"/>
        <w:rPr>
          <w:rFonts w:cstheme="minorHAnsi"/>
          <w:szCs w:val="24"/>
        </w:rPr>
      </w:pPr>
      <w:r w:rsidRPr="009C1070">
        <w:rPr>
          <w:rFonts w:cstheme="minorHAnsi"/>
          <w:szCs w:val="24"/>
        </w:rPr>
        <w:t>Chile ha cumplido con las obligacio</w:t>
      </w:r>
      <w:r w:rsidR="009F480C" w:rsidRPr="009C1070">
        <w:rPr>
          <w:rFonts w:cstheme="minorHAnsi"/>
          <w:szCs w:val="24"/>
        </w:rPr>
        <w:t>nes impuestas por la Convención, pero sin contar con un marco jurídico que otorgue facultades a la Autoridad Nacional (DGMN) para requerir información por parte de los usuarios, y sin que exista la obligación de que declaren las actividades comprendidas en la Convención.</w:t>
      </w:r>
    </w:p>
    <w:p w14:paraId="1D8B07DC" w14:textId="79B94D66" w:rsidR="009F480C" w:rsidRPr="009C1070" w:rsidRDefault="009F480C" w:rsidP="00682992">
      <w:pPr>
        <w:spacing w:after="0" w:line="360" w:lineRule="auto"/>
        <w:jc w:val="both"/>
        <w:rPr>
          <w:rFonts w:cstheme="minorHAnsi"/>
          <w:szCs w:val="24"/>
        </w:rPr>
      </w:pPr>
    </w:p>
    <w:p w14:paraId="54DB3106" w14:textId="7E1180CF" w:rsidR="009F480C" w:rsidRPr="009C1070" w:rsidRDefault="009F480C" w:rsidP="00682992">
      <w:pPr>
        <w:spacing w:after="0" w:line="360" w:lineRule="auto"/>
        <w:jc w:val="both"/>
        <w:rPr>
          <w:rFonts w:cstheme="minorHAnsi"/>
          <w:szCs w:val="24"/>
        </w:rPr>
      </w:pPr>
      <w:r w:rsidRPr="009C1070">
        <w:rPr>
          <w:rFonts w:cstheme="minorHAnsi"/>
          <w:szCs w:val="24"/>
        </w:rPr>
        <w:lastRenderedPageBreak/>
        <w:t>A raíz de lo anterior, estamos en deuda con dotar de una legislación interna que garantice que la química y la biología solo sean utilizadas con fines pacíficos, y así evitar la desviación de sustancias y agentes a manos equivocadas, así como su modificación o manipulación sin resguardos de seguridad.</w:t>
      </w:r>
    </w:p>
    <w:p w14:paraId="00878F25" w14:textId="6B8B415A" w:rsidR="009F480C" w:rsidRPr="009C1070" w:rsidRDefault="009F480C" w:rsidP="00682992">
      <w:pPr>
        <w:spacing w:after="0" w:line="360" w:lineRule="auto"/>
        <w:jc w:val="both"/>
        <w:rPr>
          <w:rFonts w:cstheme="minorHAnsi"/>
          <w:szCs w:val="24"/>
        </w:rPr>
      </w:pPr>
    </w:p>
    <w:p w14:paraId="5856FB67" w14:textId="215D8038" w:rsidR="009F480C" w:rsidRPr="009C1070" w:rsidRDefault="009F480C" w:rsidP="00682992">
      <w:pPr>
        <w:spacing w:after="0" w:line="360" w:lineRule="auto"/>
        <w:jc w:val="both"/>
        <w:rPr>
          <w:rFonts w:cstheme="minorHAnsi"/>
          <w:szCs w:val="24"/>
        </w:rPr>
      </w:pPr>
      <w:r w:rsidRPr="009C1070">
        <w:rPr>
          <w:rFonts w:cstheme="minorHAnsi"/>
          <w:szCs w:val="24"/>
        </w:rPr>
        <w:t>Hay que tener presente que el artículo 3° de la Ley sobre Control de Armas, declara que ninguna persona podrá poseer o tener armas denominadas especiales, entre las que menciona a las químicas y biológicas, y en caso de contravención será sancionado con pena de presidio mayor en su grado mínimo a medio.</w:t>
      </w:r>
    </w:p>
    <w:p w14:paraId="1B0CB14C" w14:textId="50FA78FD" w:rsidR="009F480C" w:rsidRPr="009C1070" w:rsidRDefault="009F480C" w:rsidP="00682992">
      <w:pPr>
        <w:spacing w:after="0" w:line="360" w:lineRule="auto"/>
        <w:jc w:val="both"/>
        <w:rPr>
          <w:rFonts w:cstheme="minorHAnsi"/>
          <w:szCs w:val="24"/>
        </w:rPr>
      </w:pPr>
    </w:p>
    <w:p w14:paraId="34006D95" w14:textId="6BEA2FDA" w:rsidR="009F480C" w:rsidRPr="009C1070" w:rsidRDefault="009F480C" w:rsidP="00682992">
      <w:pPr>
        <w:spacing w:after="0" w:line="360" w:lineRule="auto"/>
        <w:jc w:val="both"/>
        <w:rPr>
          <w:rFonts w:cstheme="minorHAnsi"/>
          <w:szCs w:val="24"/>
        </w:rPr>
      </w:pPr>
      <w:r w:rsidRPr="009C1070">
        <w:rPr>
          <w:rFonts w:cstheme="minorHAnsi"/>
          <w:szCs w:val="24"/>
        </w:rPr>
        <w:t>Si bien no se encuentra regulado el “control de las sustancias químicas de las Listas Nº 1, 2 y 3 de la CAQ, lo cual se ha suplido a través del trabajo coordinado con el Servicio Nacional de Aduanas. Para ello se han utilizado las partidas arancelarias o arancel aduanero, código de 8 dígitos, que permite identificar estas sustancias a la entrada o salida del país, información con la cual trabaja la Autoridad Nacional para elaborar los informes de Chile a la OPAQ en cumplimiento a las obligaciones de la Convención.”</w:t>
      </w:r>
      <w:r w:rsidRPr="009C1070">
        <w:rPr>
          <w:rStyle w:val="Refdenotaalpie"/>
          <w:rFonts w:cstheme="minorHAnsi"/>
          <w:szCs w:val="24"/>
        </w:rPr>
        <w:footnoteReference w:id="2"/>
      </w:r>
    </w:p>
    <w:p w14:paraId="5CF7F462" w14:textId="77777777" w:rsidR="00D11713" w:rsidRPr="009C1070" w:rsidRDefault="00D11713" w:rsidP="00682992">
      <w:pPr>
        <w:spacing w:after="0" w:line="360" w:lineRule="auto"/>
        <w:jc w:val="both"/>
        <w:rPr>
          <w:rFonts w:cstheme="minorHAnsi"/>
          <w:szCs w:val="24"/>
        </w:rPr>
      </w:pPr>
    </w:p>
    <w:p w14:paraId="74723ED9" w14:textId="54C72406" w:rsidR="00AC1566" w:rsidRDefault="00B941FA" w:rsidP="00760AE9">
      <w:pPr>
        <w:pStyle w:val="Prrafodelista"/>
        <w:numPr>
          <w:ilvl w:val="0"/>
          <w:numId w:val="1"/>
        </w:numPr>
        <w:spacing w:after="0" w:line="360" w:lineRule="auto"/>
        <w:ind w:left="0"/>
        <w:jc w:val="both"/>
        <w:rPr>
          <w:rFonts w:cstheme="minorHAnsi"/>
          <w:b/>
          <w:sz w:val="24"/>
          <w:szCs w:val="24"/>
        </w:rPr>
      </w:pPr>
      <w:r w:rsidRPr="006A29C2">
        <w:rPr>
          <w:rFonts w:cstheme="minorHAnsi"/>
          <w:b/>
          <w:sz w:val="24"/>
          <w:szCs w:val="24"/>
        </w:rPr>
        <w:t>OBJETIVO</w:t>
      </w:r>
      <w:r w:rsidR="0025639F">
        <w:rPr>
          <w:rStyle w:val="Refdenotaalpie"/>
          <w:rFonts w:cstheme="minorHAnsi"/>
          <w:b/>
          <w:sz w:val="24"/>
          <w:szCs w:val="24"/>
        </w:rPr>
        <w:footnoteReference w:id="3"/>
      </w:r>
    </w:p>
    <w:p w14:paraId="38BF35CC" w14:textId="1A7FB186" w:rsidR="00CF76D4" w:rsidRPr="009C1070" w:rsidRDefault="00CF76D4" w:rsidP="00760AE9">
      <w:pPr>
        <w:pStyle w:val="Prrafodelista"/>
        <w:spacing w:after="0" w:line="360" w:lineRule="auto"/>
        <w:ind w:left="0"/>
        <w:jc w:val="both"/>
        <w:rPr>
          <w:rFonts w:cstheme="minorHAnsi"/>
          <w:b/>
          <w:szCs w:val="24"/>
        </w:rPr>
      </w:pPr>
    </w:p>
    <w:p w14:paraId="77FEE12A" w14:textId="1E9EE69A" w:rsidR="00CF76D4" w:rsidRPr="009C1070" w:rsidRDefault="009F480C" w:rsidP="005C7E1A">
      <w:pPr>
        <w:spacing w:after="0" w:line="360" w:lineRule="auto"/>
        <w:jc w:val="both"/>
        <w:rPr>
          <w:rFonts w:cstheme="minorHAnsi"/>
          <w:szCs w:val="24"/>
        </w:rPr>
      </w:pPr>
      <w:r w:rsidRPr="009C1070">
        <w:rPr>
          <w:rFonts w:cstheme="minorHAnsi"/>
          <w:szCs w:val="24"/>
        </w:rPr>
        <w:t>El objetivo es dotar al país de una herramienta jurídica idónea, eficiente y eficaz para la prevención del desarrollo, fabricación y empleo de armas químicas y biológicas.</w:t>
      </w:r>
    </w:p>
    <w:p w14:paraId="51016A53" w14:textId="3E58DDD3" w:rsidR="009F480C" w:rsidRPr="009C1070" w:rsidRDefault="009F480C" w:rsidP="005C7E1A">
      <w:pPr>
        <w:spacing w:after="0" w:line="360" w:lineRule="auto"/>
        <w:jc w:val="both"/>
        <w:rPr>
          <w:rFonts w:cstheme="minorHAnsi"/>
          <w:szCs w:val="24"/>
        </w:rPr>
      </w:pPr>
    </w:p>
    <w:p w14:paraId="7242C22A" w14:textId="3AA781D9" w:rsidR="009F480C" w:rsidRPr="009C1070" w:rsidRDefault="009F480C" w:rsidP="005C7E1A">
      <w:pPr>
        <w:spacing w:after="0" w:line="360" w:lineRule="auto"/>
        <w:jc w:val="both"/>
        <w:rPr>
          <w:rFonts w:cstheme="minorHAnsi"/>
          <w:szCs w:val="24"/>
        </w:rPr>
      </w:pPr>
      <w:r w:rsidRPr="009C1070">
        <w:rPr>
          <w:rFonts w:cstheme="minorHAnsi"/>
          <w:szCs w:val="24"/>
        </w:rPr>
        <w:t>Para lograr</w:t>
      </w:r>
      <w:r w:rsidR="00D566D9" w:rsidRPr="009C1070">
        <w:rPr>
          <w:rFonts w:cstheme="minorHAnsi"/>
          <w:szCs w:val="24"/>
        </w:rPr>
        <w:t xml:space="preserve"> lo anterior, la iniciativa legal establece obligaciones de registro y un control exhaustivo de las sustancias químicas de las Listas N° 1, 2 y 3 de la CAQ y de los agentes bacterianos y sus vectores que pueden ser usados o formar parte de armas de destrucción masiva.</w:t>
      </w:r>
      <w:r w:rsidR="005276B1" w:rsidRPr="009C1070">
        <w:rPr>
          <w:rFonts w:cstheme="minorHAnsi"/>
          <w:szCs w:val="24"/>
        </w:rPr>
        <w:t xml:space="preserve"> Algunos de estos productos son utilizados a diario por la industria farmacéutica, química, minera y por organismos de salud, por lo que Eben ser supervigilados y controlados a efectos de evitar que se desvirtúe su uso. Y por consiguiente, contar con un marco jurídico que permita perseguir y castigar penalmente  a los responsables.</w:t>
      </w:r>
    </w:p>
    <w:p w14:paraId="472D43C3" w14:textId="2E8D7931" w:rsidR="005276B1" w:rsidRPr="009C1070" w:rsidRDefault="005276B1" w:rsidP="005C7E1A">
      <w:pPr>
        <w:spacing w:after="0" w:line="360" w:lineRule="auto"/>
        <w:jc w:val="both"/>
        <w:rPr>
          <w:rFonts w:cstheme="minorHAnsi"/>
          <w:szCs w:val="24"/>
        </w:rPr>
      </w:pPr>
    </w:p>
    <w:p w14:paraId="13B22B42" w14:textId="09DF89CD" w:rsidR="009F552D" w:rsidRDefault="00CF76D4" w:rsidP="00760AE9">
      <w:pPr>
        <w:pStyle w:val="Prrafodelista"/>
        <w:numPr>
          <w:ilvl w:val="0"/>
          <w:numId w:val="1"/>
        </w:numPr>
        <w:spacing w:after="0" w:line="360" w:lineRule="auto"/>
        <w:ind w:left="0"/>
        <w:jc w:val="both"/>
        <w:rPr>
          <w:rFonts w:cstheme="minorHAnsi"/>
          <w:b/>
          <w:sz w:val="24"/>
          <w:szCs w:val="24"/>
        </w:rPr>
      </w:pPr>
      <w:r>
        <w:rPr>
          <w:rFonts w:cstheme="minorHAnsi"/>
          <w:b/>
          <w:sz w:val="24"/>
          <w:szCs w:val="24"/>
        </w:rPr>
        <w:lastRenderedPageBreak/>
        <w:t>CONTENIDO</w:t>
      </w:r>
      <w:r>
        <w:rPr>
          <w:rStyle w:val="Refdenotaalpie"/>
          <w:rFonts w:cstheme="minorHAnsi"/>
          <w:b/>
          <w:sz w:val="24"/>
          <w:szCs w:val="24"/>
        </w:rPr>
        <w:footnoteReference w:id="4"/>
      </w:r>
      <w:r w:rsidR="00B941FA" w:rsidRPr="009F552D">
        <w:rPr>
          <w:rFonts w:cstheme="minorHAnsi"/>
          <w:b/>
          <w:sz w:val="24"/>
          <w:szCs w:val="24"/>
        </w:rPr>
        <w:t>.</w:t>
      </w:r>
    </w:p>
    <w:p w14:paraId="5B2D7795" w14:textId="0E6F0984" w:rsidR="00FD5EE6" w:rsidRPr="009C1070" w:rsidRDefault="00FD5EE6" w:rsidP="00FD5EE6">
      <w:pPr>
        <w:spacing w:after="0" w:line="360" w:lineRule="auto"/>
        <w:jc w:val="both"/>
        <w:rPr>
          <w:rFonts w:cstheme="minorHAnsi"/>
          <w:color w:val="000000" w:themeColor="text1"/>
          <w:szCs w:val="24"/>
        </w:rPr>
      </w:pPr>
    </w:p>
    <w:p w14:paraId="54CCC84C" w14:textId="613F5F74" w:rsidR="00CD2A82" w:rsidRPr="009C1070" w:rsidRDefault="005276B1" w:rsidP="00FD5EE6">
      <w:pPr>
        <w:spacing w:after="0" w:line="360" w:lineRule="auto"/>
        <w:jc w:val="both"/>
        <w:rPr>
          <w:rFonts w:cstheme="minorHAnsi"/>
          <w:color w:val="000000" w:themeColor="text1"/>
          <w:szCs w:val="24"/>
        </w:rPr>
      </w:pPr>
      <w:r w:rsidRPr="009C1070">
        <w:rPr>
          <w:rFonts w:cstheme="minorHAnsi"/>
          <w:color w:val="000000" w:themeColor="text1"/>
          <w:szCs w:val="24"/>
        </w:rPr>
        <w:t>El proyecto de ley consta de dos artículos permanentes y dos artículos transitorios.</w:t>
      </w:r>
    </w:p>
    <w:p w14:paraId="2CE03656" w14:textId="3091450E" w:rsidR="005276B1" w:rsidRPr="009C1070" w:rsidRDefault="005276B1" w:rsidP="00FD5EE6">
      <w:pPr>
        <w:spacing w:after="0" w:line="360" w:lineRule="auto"/>
        <w:jc w:val="both"/>
        <w:rPr>
          <w:rFonts w:cstheme="minorHAnsi"/>
          <w:color w:val="000000" w:themeColor="text1"/>
          <w:szCs w:val="24"/>
        </w:rPr>
      </w:pPr>
    </w:p>
    <w:p w14:paraId="5012EC52" w14:textId="0861CC6E" w:rsidR="005276B1" w:rsidRPr="009C1070" w:rsidRDefault="005276B1" w:rsidP="00FD5EE6">
      <w:pPr>
        <w:spacing w:after="0" w:line="360" w:lineRule="auto"/>
        <w:jc w:val="both"/>
        <w:rPr>
          <w:rFonts w:cstheme="minorHAnsi"/>
          <w:color w:val="000000" w:themeColor="text1"/>
          <w:szCs w:val="24"/>
        </w:rPr>
      </w:pPr>
      <w:r w:rsidRPr="009C1070">
        <w:rPr>
          <w:rFonts w:cstheme="minorHAnsi"/>
          <w:b/>
          <w:color w:val="000000" w:themeColor="text1"/>
          <w:szCs w:val="24"/>
          <w:u w:val="single"/>
        </w:rPr>
        <w:t>ARTÍCULO PRIMERO:</w:t>
      </w:r>
      <w:r w:rsidRPr="009C1070">
        <w:rPr>
          <w:rFonts w:cstheme="minorHAnsi"/>
          <w:color w:val="000000" w:themeColor="text1"/>
          <w:szCs w:val="24"/>
        </w:rPr>
        <w:t xml:space="preserve"> tiene por objeto dar la aprobación a la presente ley</w:t>
      </w:r>
      <w:r w:rsidR="001D0E88" w:rsidRPr="009C1070">
        <w:rPr>
          <w:rFonts w:cstheme="minorHAnsi"/>
          <w:color w:val="000000" w:themeColor="text1"/>
          <w:szCs w:val="24"/>
        </w:rPr>
        <w:t>. Compuesto por 7 títulos a saber:</w:t>
      </w:r>
    </w:p>
    <w:p w14:paraId="35D9104A" w14:textId="6352C6CA" w:rsidR="005276B1" w:rsidRPr="009C1070" w:rsidRDefault="005276B1" w:rsidP="00FD5EE6">
      <w:pPr>
        <w:spacing w:after="0" w:line="360" w:lineRule="auto"/>
        <w:jc w:val="both"/>
        <w:rPr>
          <w:rFonts w:cstheme="minorHAnsi"/>
          <w:color w:val="000000" w:themeColor="text1"/>
          <w:szCs w:val="24"/>
        </w:rPr>
      </w:pPr>
    </w:p>
    <w:p w14:paraId="79A12066" w14:textId="6ACF0362" w:rsidR="005276B1" w:rsidRPr="009C1070" w:rsidRDefault="001D0E88" w:rsidP="007E30F6">
      <w:pPr>
        <w:pStyle w:val="Prrafodelista"/>
        <w:numPr>
          <w:ilvl w:val="0"/>
          <w:numId w:val="23"/>
        </w:numPr>
        <w:spacing w:after="0" w:line="360" w:lineRule="auto"/>
        <w:jc w:val="both"/>
        <w:rPr>
          <w:rFonts w:cstheme="minorHAnsi"/>
          <w:color w:val="000000" w:themeColor="text1"/>
          <w:szCs w:val="24"/>
        </w:rPr>
      </w:pPr>
      <w:r w:rsidRPr="009C1070">
        <w:rPr>
          <w:rFonts w:cstheme="minorHAnsi"/>
          <w:b/>
          <w:color w:val="000000" w:themeColor="text1"/>
          <w:szCs w:val="24"/>
          <w:u w:val="single"/>
        </w:rPr>
        <w:t>Título I:</w:t>
      </w:r>
      <w:r w:rsidRPr="009C1070">
        <w:rPr>
          <w:rFonts w:cstheme="minorHAnsi"/>
          <w:color w:val="000000" w:themeColor="text1"/>
          <w:szCs w:val="24"/>
        </w:rPr>
        <w:t xml:space="preserve"> regula el objeto del proyecto de ley, su aplicación, además designa como Autoridad Nacional a la Dirección General de Movilización Nacional, y da varias definiciones.</w:t>
      </w:r>
    </w:p>
    <w:p w14:paraId="29FB41A3" w14:textId="2711C569" w:rsidR="001D0E88" w:rsidRPr="009C1070" w:rsidRDefault="001D0E88" w:rsidP="00FD5EE6">
      <w:pPr>
        <w:spacing w:after="0" w:line="360" w:lineRule="auto"/>
        <w:jc w:val="both"/>
        <w:rPr>
          <w:rFonts w:cstheme="minorHAnsi"/>
          <w:color w:val="000000" w:themeColor="text1"/>
          <w:szCs w:val="24"/>
        </w:rPr>
      </w:pPr>
    </w:p>
    <w:p w14:paraId="6FCF13A6" w14:textId="76E8E4EF" w:rsidR="001D0E88" w:rsidRPr="009C1070" w:rsidRDefault="001D0E88" w:rsidP="007E30F6">
      <w:pPr>
        <w:pStyle w:val="Prrafodelista"/>
        <w:numPr>
          <w:ilvl w:val="0"/>
          <w:numId w:val="23"/>
        </w:numPr>
        <w:spacing w:after="0" w:line="360" w:lineRule="auto"/>
        <w:jc w:val="both"/>
        <w:rPr>
          <w:rFonts w:cstheme="minorHAnsi"/>
          <w:color w:val="000000" w:themeColor="text1"/>
          <w:szCs w:val="24"/>
        </w:rPr>
      </w:pPr>
      <w:r w:rsidRPr="009C1070">
        <w:rPr>
          <w:rFonts w:cstheme="minorHAnsi"/>
          <w:b/>
          <w:color w:val="000000" w:themeColor="text1"/>
          <w:szCs w:val="24"/>
          <w:u w:val="single"/>
        </w:rPr>
        <w:t>Título II:</w:t>
      </w:r>
      <w:r w:rsidRPr="009C1070">
        <w:rPr>
          <w:rFonts w:cstheme="minorHAnsi"/>
          <w:color w:val="000000" w:themeColor="text1"/>
          <w:szCs w:val="24"/>
        </w:rPr>
        <w:t xml:space="preserve"> señala las actividades prohibidas por la ley, establece las obligaciones de los sujetos sometidos a control y las atribuciones de la Autoridad Nacional, y distingue las obligaciones dependiendo de las sustancias químicas que están enumeradas en la Lista N°1,2 y 3 de la CAQ.</w:t>
      </w:r>
    </w:p>
    <w:p w14:paraId="60CC501D" w14:textId="192A65D1" w:rsidR="001D0E88" w:rsidRPr="009C1070" w:rsidRDefault="001D0E88" w:rsidP="00FD5EE6">
      <w:pPr>
        <w:spacing w:after="0" w:line="360" w:lineRule="auto"/>
        <w:jc w:val="both"/>
        <w:rPr>
          <w:rFonts w:cstheme="minorHAnsi"/>
          <w:color w:val="000000" w:themeColor="text1"/>
          <w:szCs w:val="24"/>
        </w:rPr>
      </w:pPr>
    </w:p>
    <w:p w14:paraId="0A90D161" w14:textId="6D253C2D" w:rsidR="001D0E88" w:rsidRPr="009C1070" w:rsidRDefault="001D0E88" w:rsidP="007E30F6">
      <w:pPr>
        <w:pStyle w:val="Prrafodelista"/>
        <w:numPr>
          <w:ilvl w:val="0"/>
          <w:numId w:val="23"/>
        </w:numPr>
        <w:spacing w:after="0" w:line="360" w:lineRule="auto"/>
        <w:jc w:val="both"/>
        <w:rPr>
          <w:rFonts w:cstheme="minorHAnsi"/>
          <w:color w:val="000000" w:themeColor="text1"/>
          <w:szCs w:val="24"/>
        </w:rPr>
      </w:pPr>
      <w:r w:rsidRPr="009C1070">
        <w:rPr>
          <w:rFonts w:cstheme="minorHAnsi"/>
          <w:b/>
          <w:color w:val="000000" w:themeColor="text1"/>
          <w:szCs w:val="24"/>
          <w:u w:val="single"/>
        </w:rPr>
        <w:t>Título III:</w:t>
      </w:r>
      <w:r w:rsidRPr="009C1070">
        <w:rPr>
          <w:rFonts w:cstheme="minorHAnsi"/>
          <w:color w:val="000000" w:themeColor="text1"/>
          <w:szCs w:val="24"/>
        </w:rPr>
        <w:t xml:space="preserve"> regula las inspecciones y verificaciones internacionales de la OPAQ, sus facultades, y las obligaciones y atribuciones del Grupo Nacional de Acompañamiento.</w:t>
      </w:r>
    </w:p>
    <w:p w14:paraId="1F1DE87A" w14:textId="596C4957" w:rsidR="001D0E88" w:rsidRPr="009C1070" w:rsidRDefault="001D0E88" w:rsidP="00FD5EE6">
      <w:pPr>
        <w:spacing w:after="0" w:line="360" w:lineRule="auto"/>
        <w:jc w:val="both"/>
        <w:rPr>
          <w:rFonts w:cstheme="minorHAnsi"/>
          <w:color w:val="000000" w:themeColor="text1"/>
          <w:szCs w:val="24"/>
        </w:rPr>
      </w:pPr>
    </w:p>
    <w:p w14:paraId="2A467136" w14:textId="6BFBCE20" w:rsidR="001D0E88" w:rsidRPr="009C1070" w:rsidRDefault="001D0E88" w:rsidP="007E30F6">
      <w:pPr>
        <w:pStyle w:val="Prrafodelista"/>
        <w:numPr>
          <w:ilvl w:val="0"/>
          <w:numId w:val="23"/>
        </w:numPr>
        <w:spacing w:after="0" w:line="360" w:lineRule="auto"/>
        <w:jc w:val="both"/>
        <w:rPr>
          <w:rFonts w:cstheme="minorHAnsi"/>
          <w:color w:val="000000" w:themeColor="text1"/>
          <w:szCs w:val="24"/>
        </w:rPr>
      </w:pPr>
      <w:r w:rsidRPr="009C1070">
        <w:rPr>
          <w:rFonts w:cstheme="minorHAnsi"/>
          <w:b/>
          <w:color w:val="000000" w:themeColor="text1"/>
          <w:szCs w:val="24"/>
          <w:u w:val="single"/>
        </w:rPr>
        <w:t>Título IV:</w:t>
      </w:r>
      <w:r w:rsidRPr="009C1070">
        <w:rPr>
          <w:rFonts w:cstheme="minorHAnsi"/>
          <w:color w:val="000000" w:themeColor="text1"/>
          <w:szCs w:val="24"/>
        </w:rPr>
        <w:t xml:space="preserve"> establece el control de los agentes y vectores biológicos y sus instalaciones, señala las actividades prohibidas y el respectivo sistema de control.</w:t>
      </w:r>
    </w:p>
    <w:p w14:paraId="6879CA0D" w14:textId="23495334" w:rsidR="001D0E88" w:rsidRPr="009C1070" w:rsidRDefault="001D0E88" w:rsidP="00FD5EE6">
      <w:pPr>
        <w:spacing w:after="0" w:line="360" w:lineRule="auto"/>
        <w:jc w:val="both"/>
        <w:rPr>
          <w:rFonts w:cstheme="minorHAnsi"/>
          <w:color w:val="000000" w:themeColor="text1"/>
          <w:szCs w:val="24"/>
        </w:rPr>
      </w:pPr>
    </w:p>
    <w:p w14:paraId="4F09BCBE" w14:textId="5ECBBC40" w:rsidR="001D0E88" w:rsidRPr="009C1070" w:rsidRDefault="001D0E88" w:rsidP="007E30F6">
      <w:pPr>
        <w:pStyle w:val="Prrafodelista"/>
        <w:numPr>
          <w:ilvl w:val="0"/>
          <w:numId w:val="23"/>
        </w:numPr>
        <w:spacing w:after="0" w:line="360" w:lineRule="auto"/>
        <w:jc w:val="both"/>
        <w:rPr>
          <w:rFonts w:cstheme="minorHAnsi"/>
          <w:color w:val="000000" w:themeColor="text1"/>
          <w:szCs w:val="24"/>
        </w:rPr>
      </w:pPr>
      <w:r w:rsidRPr="009C1070">
        <w:rPr>
          <w:rFonts w:cstheme="minorHAnsi"/>
          <w:b/>
          <w:color w:val="000000" w:themeColor="text1"/>
          <w:szCs w:val="24"/>
          <w:u w:val="single"/>
        </w:rPr>
        <w:t>Título V:</w:t>
      </w:r>
      <w:r w:rsidRPr="009C1070">
        <w:rPr>
          <w:rFonts w:cstheme="minorHAnsi"/>
          <w:color w:val="000000" w:themeColor="text1"/>
          <w:szCs w:val="24"/>
        </w:rPr>
        <w:t xml:space="preserve"> sobre disposiciones comunes al régimen de control, además regula el hallazgo de armas químicas y biológicas</w:t>
      </w:r>
      <w:r w:rsidR="007E30F6" w:rsidRPr="009C1070">
        <w:rPr>
          <w:rFonts w:cstheme="minorHAnsi"/>
          <w:color w:val="000000" w:themeColor="text1"/>
          <w:szCs w:val="24"/>
        </w:rPr>
        <w:t xml:space="preserve"> y la clausura de las instalaciones que las producen.</w:t>
      </w:r>
    </w:p>
    <w:p w14:paraId="2C3FC0EF" w14:textId="24D96246" w:rsidR="007E30F6" w:rsidRPr="009C1070" w:rsidRDefault="007E30F6" w:rsidP="00FD5EE6">
      <w:pPr>
        <w:spacing w:after="0" w:line="360" w:lineRule="auto"/>
        <w:jc w:val="both"/>
        <w:rPr>
          <w:rFonts w:cstheme="minorHAnsi"/>
          <w:color w:val="000000" w:themeColor="text1"/>
          <w:szCs w:val="24"/>
        </w:rPr>
      </w:pPr>
    </w:p>
    <w:p w14:paraId="429BDBEA" w14:textId="0BAA4C1F" w:rsidR="007E30F6" w:rsidRPr="009C1070" w:rsidRDefault="007E30F6" w:rsidP="007E30F6">
      <w:pPr>
        <w:pStyle w:val="Prrafodelista"/>
        <w:numPr>
          <w:ilvl w:val="0"/>
          <w:numId w:val="23"/>
        </w:numPr>
        <w:spacing w:after="0" w:line="360" w:lineRule="auto"/>
        <w:jc w:val="both"/>
        <w:rPr>
          <w:rFonts w:cstheme="minorHAnsi"/>
          <w:color w:val="000000" w:themeColor="text1"/>
          <w:szCs w:val="24"/>
        </w:rPr>
      </w:pPr>
      <w:r w:rsidRPr="009C1070">
        <w:rPr>
          <w:rFonts w:cstheme="minorHAnsi"/>
          <w:b/>
          <w:color w:val="000000" w:themeColor="text1"/>
          <w:szCs w:val="24"/>
          <w:u w:val="single"/>
        </w:rPr>
        <w:t>Título VI:</w:t>
      </w:r>
      <w:r w:rsidRPr="009C1070">
        <w:rPr>
          <w:rFonts w:cstheme="minorHAnsi"/>
          <w:color w:val="000000" w:themeColor="text1"/>
          <w:szCs w:val="24"/>
        </w:rPr>
        <w:t xml:space="preserve"> régimen de medidas administrativas, sanciones y tipificación de delitos. Dividiendo el título en dos párrafos, el de las medidas de control de riego y sanciones administrativas, y el segundo sobre los delitos.</w:t>
      </w:r>
    </w:p>
    <w:p w14:paraId="1860BEF7" w14:textId="77777777" w:rsidR="007E30F6" w:rsidRPr="009C1070" w:rsidRDefault="007E30F6" w:rsidP="007E30F6">
      <w:pPr>
        <w:pStyle w:val="Prrafodelista"/>
        <w:rPr>
          <w:rFonts w:cstheme="minorHAnsi"/>
          <w:color w:val="000000" w:themeColor="text1"/>
          <w:szCs w:val="24"/>
        </w:rPr>
      </w:pPr>
    </w:p>
    <w:p w14:paraId="1F36E7A1" w14:textId="1085B478" w:rsidR="007E30F6" w:rsidRPr="009C1070" w:rsidRDefault="007E30F6" w:rsidP="007E30F6">
      <w:pPr>
        <w:pStyle w:val="Prrafodelista"/>
        <w:numPr>
          <w:ilvl w:val="1"/>
          <w:numId w:val="23"/>
        </w:numPr>
        <w:spacing w:after="0" w:line="360" w:lineRule="auto"/>
        <w:jc w:val="both"/>
        <w:rPr>
          <w:rFonts w:cstheme="minorHAnsi"/>
          <w:color w:val="000000" w:themeColor="text1"/>
          <w:szCs w:val="24"/>
        </w:rPr>
      </w:pPr>
      <w:r w:rsidRPr="009C1070">
        <w:rPr>
          <w:rFonts w:cstheme="minorHAnsi"/>
          <w:color w:val="000000" w:themeColor="text1"/>
          <w:szCs w:val="24"/>
          <w:u w:val="single"/>
        </w:rPr>
        <w:lastRenderedPageBreak/>
        <w:t>Párrafo primero</w:t>
      </w:r>
      <w:r w:rsidRPr="009C1070">
        <w:rPr>
          <w:rFonts w:cstheme="minorHAnsi"/>
          <w:color w:val="000000" w:themeColor="text1"/>
          <w:szCs w:val="24"/>
        </w:rPr>
        <w:t>: establece medidas administrativas aplicables, permite determinar medidas provisionales antes y durante el procedimiento administrativo, en caso de peligro de riesgo inminente o daño para la salud humana o el medio ambiente. También establece sanciones administrativas y se entregan criterios, tanto agravantes como atenuantes, para efectos de graduar la aplicación de las medidas o sanciones administrativas.</w:t>
      </w:r>
    </w:p>
    <w:p w14:paraId="746928B9" w14:textId="77777777" w:rsidR="007E30F6" w:rsidRPr="009C1070" w:rsidRDefault="007E30F6" w:rsidP="007E30F6">
      <w:pPr>
        <w:pStyle w:val="Prrafodelista"/>
        <w:spacing w:after="0" w:line="360" w:lineRule="auto"/>
        <w:ind w:left="1440"/>
        <w:jc w:val="both"/>
        <w:rPr>
          <w:rFonts w:cstheme="minorHAnsi"/>
          <w:color w:val="000000" w:themeColor="text1"/>
          <w:szCs w:val="24"/>
        </w:rPr>
      </w:pPr>
    </w:p>
    <w:p w14:paraId="29F691BD" w14:textId="77777777" w:rsidR="007E30F6" w:rsidRPr="009C1070" w:rsidRDefault="007E30F6" w:rsidP="007E30F6">
      <w:pPr>
        <w:pStyle w:val="Prrafodelista"/>
        <w:numPr>
          <w:ilvl w:val="1"/>
          <w:numId w:val="23"/>
        </w:numPr>
        <w:spacing w:after="0" w:line="360" w:lineRule="auto"/>
        <w:jc w:val="both"/>
        <w:rPr>
          <w:rFonts w:cstheme="minorHAnsi"/>
          <w:color w:val="000000" w:themeColor="text1"/>
          <w:szCs w:val="24"/>
        </w:rPr>
      </w:pPr>
      <w:r w:rsidRPr="009C1070">
        <w:rPr>
          <w:rFonts w:cstheme="minorHAnsi"/>
          <w:color w:val="000000" w:themeColor="text1"/>
          <w:szCs w:val="24"/>
          <w:u w:val="single"/>
        </w:rPr>
        <w:t>Párrafo segundo</w:t>
      </w:r>
      <w:r w:rsidRPr="009C1070">
        <w:rPr>
          <w:rFonts w:cstheme="minorHAnsi"/>
          <w:color w:val="000000" w:themeColor="text1"/>
          <w:szCs w:val="24"/>
        </w:rPr>
        <w:t>: dispone de los delitos relacionados a:</w:t>
      </w:r>
    </w:p>
    <w:p w14:paraId="7341C5DD" w14:textId="77777777" w:rsidR="007E30F6" w:rsidRPr="009C1070" w:rsidRDefault="007E30F6" w:rsidP="007E30F6">
      <w:pPr>
        <w:pStyle w:val="Prrafodelista"/>
        <w:rPr>
          <w:rFonts w:cstheme="minorHAnsi"/>
          <w:color w:val="000000" w:themeColor="text1"/>
          <w:szCs w:val="24"/>
        </w:rPr>
      </w:pPr>
    </w:p>
    <w:p w14:paraId="5080459B" w14:textId="77777777" w:rsidR="007E30F6" w:rsidRPr="009C1070" w:rsidRDefault="007E30F6" w:rsidP="007E30F6">
      <w:pPr>
        <w:pStyle w:val="Prrafodelista"/>
        <w:numPr>
          <w:ilvl w:val="2"/>
          <w:numId w:val="23"/>
        </w:numPr>
        <w:spacing w:after="0" w:line="360" w:lineRule="auto"/>
        <w:jc w:val="both"/>
        <w:rPr>
          <w:rFonts w:cstheme="minorHAnsi"/>
          <w:color w:val="000000" w:themeColor="text1"/>
          <w:szCs w:val="24"/>
        </w:rPr>
      </w:pPr>
      <w:r w:rsidRPr="009C1070">
        <w:rPr>
          <w:rFonts w:cstheme="minorHAnsi"/>
          <w:color w:val="000000" w:themeColor="text1"/>
          <w:szCs w:val="24"/>
        </w:rPr>
        <w:t xml:space="preserve">Armas químicas y biológicas; </w:t>
      </w:r>
    </w:p>
    <w:p w14:paraId="010F96C9" w14:textId="77777777" w:rsidR="007E30F6" w:rsidRPr="009C1070" w:rsidRDefault="007E30F6" w:rsidP="007E30F6">
      <w:pPr>
        <w:pStyle w:val="Prrafodelista"/>
        <w:numPr>
          <w:ilvl w:val="2"/>
          <w:numId w:val="23"/>
        </w:numPr>
        <w:spacing w:after="0" w:line="360" w:lineRule="auto"/>
        <w:jc w:val="both"/>
        <w:rPr>
          <w:rFonts w:cstheme="minorHAnsi"/>
          <w:color w:val="000000" w:themeColor="text1"/>
          <w:szCs w:val="24"/>
        </w:rPr>
      </w:pPr>
      <w:r w:rsidRPr="009C1070">
        <w:rPr>
          <w:rFonts w:cstheme="minorHAnsi"/>
          <w:color w:val="000000" w:themeColor="text1"/>
          <w:szCs w:val="24"/>
        </w:rPr>
        <w:t xml:space="preserve">Las sustancias químicas y agentes biológicos controlados; </w:t>
      </w:r>
    </w:p>
    <w:p w14:paraId="6FFCD71F" w14:textId="77777777" w:rsidR="007E30F6" w:rsidRPr="009C1070" w:rsidRDefault="007E30F6" w:rsidP="007E30F6">
      <w:pPr>
        <w:pStyle w:val="Prrafodelista"/>
        <w:numPr>
          <w:ilvl w:val="2"/>
          <w:numId w:val="23"/>
        </w:numPr>
        <w:spacing w:after="0" w:line="360" w:lineRule="auto"/>
        <w:jc w:val="both"/>
        <w:rPr>
          <w:rFonts w:cstheme="minorHAnsi"/>
          <w:color w:val="000000" w:themeColor="text1"/>
          <w:szCs w:val="24"/>
        </w:rPr>
      </w:pPr>
      <w:r w:rsidRPr="009C1070">
        <w:rPr>
          <w:rFonts w:cstheme="minorHAnsi"/>
          <w:color w:val="000000" w:themeColor="text1"/>
          <w:szCs w:val="24"/>
        </w:rPr>
        <w:t xml:space="preserve">Por incumplimiento de los regímenes de control; </w:t>
      </w:r>
    </w:p>
    <w:p w14:paraId="324C94CA" w14:textId="2224E07D" w:rsidR="007E30F6" w:rsidRPr="009C1070" w:rsidRDefault="007E30F6" w:rsidP="007E30F6">
      <w:pPr>
        <w:pStyle w:val="Prrafodelista"/>
        <w:numPr>
          <w:ilvl w:val="2"/>
          <w:numId w:val="23"/>
        </w:numPr>
        <w:spacing w:after="0" w:line="360" w:lineRule="auto"/>
        <w:jc w:val="both"/>
        <w:rPr>
          <w:rFonts w:cstheme="minorHAnsi"/>
          <w:color w:val="000000" w:themeColor="text1"/>
          <w:szCs w:val="24"/>
        </w:rPr>
      </w:pPr>
      <w:r w:rsidRPr="009C1070">
        <w:rPr>
          <w:rFonts w:cstheme="minorHAnsi"/>
          <w:color w:val="000000" w:themeColor="text1"/>
          <w:szCs w:val="24"/>
        </w:rPr>
        <w:t>A la revelación de información, resguardando la información de los sujetos controlados.</w:t>
      </w:r>
    </w:p>
    <w:p w14:paraId="7BC4E55C" w14:textId="77777777" w:rsidR="007E30F6" w:rsidRPr="009C1070" w:rsidRDefault="007E30F6" w:rsidP="007E30F6">
      <w:pPr>
        <w:pStyle w:val="Prrafodelista"/>
        <w:spacing w:after="0" w:line="360" w:lineRule="auto"/>
        <w:ind w:left="2160"/>
        <w:jc w:val="both"/>
        <w:rPr>
          <w:rFonts w:cstheme="minorHAnsi"/>
          <w:color w:val="000000" w:themeColor="text1"/>
          <w:szCs w:val="24"/>
        </w:rPr>
      </w:pPr>
    </w:p>
    <w:p w14:paraId="5B8C9F3B" w14:textId="4BAC3E0B" w:rsidR="007E30F6" w:rsidRPr="009C1070" w:rsidRDefault="007E30F6" w:rsidP="007E30F6">
      <w:pPr>
        <w:pStyle w:val="Prrafodelista"/>
        <w:numPr>
          <w:ilvl w:val="0"/>
          <w:numId w:val="23"/>
        </w:numPr>
        <w:spacing w:after="0" w:line="360" w:lineRule="auto"/>
        <w:jc w:val="both"/>
        <w:rPr>
          <w:rFonts w:cstheme="minorHAnsi"/>
          <w:color w:val="000000" w:themeColor="text1"/>
          <w:szCs w:val="24"/>
        </w:rPr>
      </w:pPr>
      <w:r w:rsidRPr="009C1070">
        <w:rPr>
          <w:rFonts w:cstheme="minorHAnsi"/>
          <w:b/>
          <w:color w:val="000000" w:themeColor="text1"/>
          <w:szCs w:val="24"/>
          <w:u w:val="single"/>
        </w:rPr>
        <w:t>Título VII:</w:t>
      </w:r>
      <w:r w:rsidRPr="009C1070">
        <w:rPr>
          <w:rFonts w:cstheme="minorHAnsi"/>
          <w:color w:val="000000" w:themeColor="text1"/>
          <w:szCs w:val="24"/>
        </w:rPr>
        <w:t xml:space="preserve"> disposición que reenvía a un reglamento</w:t>
      </w:r>
      <w:r w:rsidR="00F67D25" w:rsidRPr="009C1070">
        <w:rPr>
          <w:rFonts w:cstheme="minorHAnsi"/>
          <w:color w:val="000000" w:themeColor="text1"/>
          <w:szCs w:val="24"/>
        </w:rPr>
        <w:t xml:space="preserve"> de ejecución para tratar la forma de ejercicio de las funciones de la Autoridad Nacional; el registro de personas naturales y jurídicas que operan con las sustancias reguladas en esta ley; el registro de sanciones administrativas; la destrucción o acondicionamiento y sus procedimientos; entre otros.</w:t>
      </w:r>
    </w:p>
    <w:p w14:paraId="45EA42CA" w14:textId="47112177" w:rsidR="005276B1" w:rsidRPr="009C1070" w:rsidRDefault="005276B1" w:rsidP="00FD5EE6">
      <w:pPr>
        <w:spacing w:after="0" w:line="360" w:lineRule="auto"/>
        <w:jc w:val="both"/>
        <w:rPr>
          <w:rFonts w:cstheme="minorHAnsi"/>
          <w:color w:val="000000" w:themeColor="text1"/>
          <w:szCs w:val="24"/>
        </w:rPr>
      </w:pPr>
    </w:p>
    <w:p w14:paraId="4BB77351" w14:textId="573DD2C2" w:rsidR="005276B1" w:rsidRPr="009C1070" w:rsidRDefault="005276B1" w:rsidP="005276B1">
      <w:pPr>
        <w:spacing w:after="0" w:line="360" w:lineRule="auto"/>
        <w:jc w:val="both"/>
        <w:rPr>
          <w:rFonts w:cstheme="minorHAnsi"/>
          <w:color w:val="000000" w:themeColor="text1"/>
          <w:szCs w:val="24"/>
        </w:rPr>
      </w:pPr>
      <w:r w:rsidRPr="009C1070">
        <w:rPr>
          <w:rFonts w:cstheme="minorHAnsi"/>
          <w:b/>
          <w:color w:val="000000" w:themeColor="text1"/>
          <w:szCs w:val="24"/>
          <w:u w:val="single"/>
        </w:rPr>
        <w:t>ARTÍCULO SEGUNDO:</w:t>
      </w:r>
      <w:r w:rsidRPr="009C1070">
        <w:rPr>
          <w:rFonts w:cstheme="minorHAnsi"/>
          <w:color w:val="000000" w:themeColor="text1"/>
          <w:szCs w:val="24"/>
        </w:rPr>
        <w:t xml:space="preserve"> establece la extraterritorialidad de la ley penal cuando ocurra la comisión de un delito referido a armas químicas o biológicas.</w:t>
      </w:r>
    </w:p>
    <w:p w14:paraId="79CB52B6" w14:textId="08310216" w:rsidR="005276B1" w:rsidRPr="009C1070" w:rsidRDefault="005276B1" w:rsidP="005276B1">
      <w:pPr>
        <w:spacing w:after="0" w:line="360" w:lineRule="auto"/>
        <w:jc w:val="both"/>
        <w:rPr>
          <w:rFonts w:cstheme="minorHAnsi"/>
          <w:color w:val="000000" w:themeColor="text1"/>
          <w:szCs w:val="24"/>
        </w:rPr>
      </w:pPr>
    </w:p>
    <w:p w14:paraId="5B29C41B" w14:textId="771BD39E" w:rsidR="005276B1" w:rsidRPr="009C1070" w:rsidRDefault="005276B1" w:rsidP="005276B1">
      <w:pPr>
        <w:spacing w:after="0" w:line="360" w:lineRule="auto"/>
        <w:jc w:val="both"/>
        <w:rPr>
          <w:rFonts w:cstheme="minorHAnsi"/>
          <w:color w:val="000000" w:themeColor="text1"/>
          <w:szCs w:val="24"/>
        </w:rPr>
      </w:pPr>
      <w:r w:rsidRPr="009C1070">
        <w:rPr>
          <w:rFonts w:cstheme="minorHAnsi"/>
          <w:b/>
          <w:color w:val="000000" w:themeColor="text1"/>
          <w:szCs w:val="24"/>
          <w:u w:val="single"/>
        </w:rPr>
        <w:t>ARTÍCULO PRIMERO TRANSITORIO:</w:t>
      </w:r>
      <w:r w:rsidRPr="009C1070">
        <w:rPr>
          <w:rFonts w:cstheme="minorHAnsi"/>
          <w:color w:val="000000" w:themeColor="text1"/>
          <w:szCs w:val="24"/>
        </w:rPr>
        <w:t xml:space="preserve"> establece el plazo de entrada en vigencia de la ley, el cual será un año luego de su publicación.</w:t>
      </w:r>
    </w:p>
    <w:p w14:paraId="53AF9F57" w14:textId="13809FEE" w:rsidR="005276B1" w:rsidRPr="009C1070" w:rsidRDefault="005276B1" w:rsidP="005276B1">
      <w:pPr>
        <w:spacing w:after="0" w:line="360" w:lineRule="auto"/>
        <w:jc w:val="both"/>
        <w:rPr>
          <w:rFonts w:cstheme="minorHAnsi"/>
          <w:b/>
          <w:color w:val="000000" w:themeColor="text1"/>
          <w:szCs w:val="24"/>
          <w:u w:val="single"/>
        </w:rPr>
      </w:pPr>
    </w:p>
    <w:p w14:paraId="48842056" w14:textId="45D23E1A" w:rsidR="005276B1" w:rsidRPr="009C1070" w:rsidRDefault="005276B1" w:rsidP="005276B1">
      <w:pPr>
        <w:spacing w:after="0" w:line="360" w:lineRule="auto"/>
        <w:jc w:val="both"/>
        <w:rPr>
          <w:rFonts w:cstheme="minorHAnsi"/>
          <w:color w:val="000000" w:themeColor="text1"/>
          <w:szCs w:val="24"/>
        </w:rPr>
      </w:pPr>
      <w:r w:rsidRPr="009C1070">
        <w:rPr>
          <w:rFonts w:cstheme="minorHAnsi"/>
          <w:b/>
          <w:color w:val="000000" w:themeColor="text1"/>
          <w:szCs w:val="24"/>
          <w:u w:val="single"/>
        </w:rPr>
        <w:t>ARTÍCULO SEGUNDO TRANSITORIO:</w:t>
      </w:r>
      <w:r w:rsidRPr="009C1070">
        <w:rPr>
          <w:rFonts w:cstheme="minorHAnsi"/>
          <w:color w:val="000000" w:themeColor="text1"/>
          <w:szCs w:val="24"/>
        </w:rPr>
        <w:t xml:space="preserve"> establece que desde la fecha de la publicación del reglamento de ejecución, los afectados por esta ley, tendrán un plazo de 120 días para efectuar los registros, licencias, autorizaciones e informaciones pertinentes a la DGMN.</w:t>
      </w:r>
    </w:p>
    <w:p w14:paraId="773DA326" w14:textId="61EF927C" w:rsidR="005276B1" w:rsidRPr="009C1070" w:rsidRDefault="005276B1" w:rsidP="00FD5EE6">
      <w:pPr>
        <w:spacing w:after="0" w:line="360" w:lineRule="auto"/>
        <w:jc w:val="both"/>
        <w:rPr>
          <w:rFonts w:cstheme="minorHAnsi"/>
          <w:b/>
          <w:color w:val="000000" w:themeColor="text1"/>
          <w:szCs w:val="24"/>
          <w:u w:val="single"/>
        </w:rPr>
      </w:pPr>
    </w:p>
    <w:p w14:paraId="20E28360" w14:textId="349AA2A9" w:rsidR="006A52D4" w:rsidRDefault="006A52D4" w:rsidP="003D706C">
      <w:pPr>
        <w:pStyle w:val="Prrafodelista"/>
        <w:numPr>
          <w:ilvl w:val="0"/>
          <w:numId w:val="1"/>
        </w:numPr>
        <w:spacing w:after="0" w:line="360" w:lineRule="auto"/>
        <w:ind w:left="0"/>
        <w:jc w:val="both"/>
        <w:rPr>
          <w:rFonts w:cstheme="minorHAnsi"/>
          <w:b/>
          <w:sz w:val="24"/>
          <w:szCs w:val="24"/>
        </w:rPr>
      </w:pPr>
      <w:r>
        <w:rPr>
          <w:rFonts w:cstheme="minorHAnsi"/>
          <w:b/>
          <w:sz w:val="24"/>
          <w:szCs w:val="24"/>
        </w:rPr>
        <w:lastRenderedPageBreak/>
        <w:t>MODIFICACIONES INTRODUCIDAS EN LA COMISIÓN DE DEFENSA, CÁMARA.</w:t>
      </w:r>
      <w:r>
        <w:rPr>
          <w:rStyle w:val="Refdenotaalpie"/>
          <w:rFonts w:cstheme="minorHAnsi"/>
          <w:b/>
          <w:sz w:val="24"/>
          <w:szCs w:val="24"/>
        </w:rPr>
        <w:footnoteReference w:id="5"/>
      </w:r>
    </w:p>
    <w:p w14:paraId="7EDF1CEC" w14:textId="77777777" w:rsidR="006A52D4" w:rsidRPr="009C1070" w:rsidRDefault="006A52D4" w:rsidP="006A52D4">
      <w:pPr>
        <w:spacing w:after="0" w:line="360" w:lineRule="auto"/>
        <w:jc w:val="both"/>
        <w:rPr>
          <w:rFonts w:cstheme="minorHAnsi"/>
          <w:color w:val="000000" w:themeColor="text1"/>
          <w:szCs w:val="24"/>
        </w:rPr>
      </w:pPr>
    </w:p>
    <w:p w14:paraId="4D2E3779" w14:textId="2AF42FB9" w:rsidR="006A52D4" w:rsidRPr="009C1070" w:rsidRDefault="006A52D4" w:rsidP="006A52D4">
      <w:pPr>
        <w:spacing w:after="0" w:line="360" w:lineRule="auto"/>
        <w:jc w:val="both"/>
        <w:rPr>
          <w:rFonts w:cstheme="minorHAnsi"/>
          <w:color w:val="000000" w:themeColor="text1"/>
          <w:szCs w:val="24"/>
        </w:rPr>
      </w:pPr>
      <w:r w:rsidRPr="009C1070">
        <w:rPr>
          <w:rFonts w:cstheme="minorHAnsi"/>
          <w:color w:val="000000" w:themeColor="text1"/>
          <w:szCs w:val="24"/>
        </w:rPr>
        <w:t>En la discusión en particular en la Comisión de Defensa de la Cámara se produjeron las modificaciones, las que aportaron al proyecto de ley, en el siguiente sentido:</w:t>
      </w:r>
    </w:p>
    <w:p w14:paraId="74D795B5" w14:textId="0D97483A" w:rsidR="006A52D4" w:rsidRPr="009C1070" w:rsidRDefault="006A52D4" w:rsidP="006A52D4">
      <w:pPr>
        <w:spacing w:after="0" w:line="360" w:lineRule="auto"/>
        <w:jc w:val="both"/>
        <w:rPr>
          <w:rFonts w:cstheme="minorHAnsi"/>
          <w:color w:val="000000" w:themeColor="text1"/>
          <w:szCs w:val="24"/>
        </w:rPr>
      </w:pPr>
    </w:p>
    <w:p w14:paraId="7FBA9C21" w14:textId="03E7ADF2" w:rsidR="006A52D4" w:rsidRPr="009C1070" w:rsidRDefault="00894FA5" w:rsidP="006A52D4">
      <w:pPr>
        <w:spacing w:after="0" w:line="360" w:lineRule="auto"/>
        <w:jc w:val="both"/>
        <w:rPr>
          <w:rFonts w:cstheme="minorHAnsi"/>
          <w:color w:val="000000" w:themeColor="text1"/>
          <w:szCs w:val="24"/>
        </w:rPr>
      </w:pPr>
      <w:r w:rsidRPr="009C1070">
        <w:rPr>
          <w:rFonts w:cstheme="minorHAnsi"/>
          <w:color w:val="000000" w:themeColor="text1"/>
          <w:szCs w:val="24"/>
        </w:rPr>
        <w:t>En el Artículo Primero, se modificaron los siguientes artículos:</w:t>
      </w:r>
    </w:p>
    <w:p w14:paraId="25B11E2A" w14:textId="77777777" w:rsidR="00673BF2" w:rsidRPr="009C1070" w:rsidRDefault="00894FA5" w:rsidP="00894FA5">
      <w:pPr>
        <w:pStyle w:val="Prrafodelista"/>
        <w:numPr>
          <w:ilvl w:val="0"/>
          <w:numId w:val="25"/>
        </w:numPr>
        <w:spacing w:after="0" w:line="360" w:lineRule="auto"/>
        <w:jc w:val="both"/>
        <w:rPr>
          <w:rFonts w:cstheme="minorHAnsi"/>
          <w:color w:val="000000" w:themeColor="text1"/>
          <w:szCs w:val="24"/>
          <w:u w:val="single"/>
        </w:rPr>
      </w:pPr>
      <w:r w:rsidRPr="009C1070">
        <w:rPr>
          <w:rFonts w:cstheme="minorHAnsi"/>
          <w:color w:val="000000" w:themeColor="text1"/>
          <w:szCs w:val="24"/>
          <w:u w:val="single"/>
        </w:rPr>
        <w:t>Artículo 7:</w:t>
      </w:r>
      <w:r w:rsidRPr="009C1070">
        <w:rPr>
          <w:rFonts w:cstheme="minorHAnsi"/>
          <w:color w:val="000000" w:themeColor="text1"/>
          <w:szCs w:val="24"/>
        </w:rPr>
        <w:t xml:space="preserve"> se incorpora un nuevo numeral 1) que consagra que la producción, conservación, empleo y operaciones comerciales con sustancias provenientes de la lista 1, se encuentren siempre prohibidas, sin excepción de los territorios de Estados que aún no son parte de la convención, ya que actualmente sólo cuatro Estados no forman parte de la convención; tales son Egipto, Israel, Sudan del Sur y Corea del Norte. Dicha modificación fue en virtud de una recomendación realizada por la OPAQ (Organización para la Prohibición de las Armas Químicas). </w:t>
      </w:r>
    </w:p>
    <w:p w14:paraId="269D2945" w14:textId="4A04655B" w:rsidR="00894FA5" w:rsidRPr="009C1070" w:rsidRDefault="00894FA5" w:rsidP="00673BF2">
      <w:pPr>
        <w:pStyle w:val="Prrafodelista"/>
        <w:spacing w:after="0" w:line="360" w:lineRule="auto"/>
        <w:jc w:val="both"/>
        <w:rPr>
          <w:rFonts w:cstheme="minorHAnsi"/>
          <w:color w:val="000000" w:themeColor="text1"/>
          <w:szCs w:val="24"/>
          <w:u w:val="single"/>
        </w:rPr>
      </w:pPr>
      <w:r w:rsidRPr="009C1070">
        <w:rPr>
          <w:rFonts w:cstheme="minorHAnsi"/>
          <w:color w:val="000000" w:themeColor="text1"/>
          <w:szCs w:val="24"/>
        </w:rPr>
        <w:t>De la misma forma, se incorporó un nuevo numeral 3, recomendación de la OPAQ, en el cual se explicitan dos limitaciones para la transferencia de sustancias entre los Estados Partes.</w:t>
      </w:r>
    </w:p>
    <w:p w14:paraId="78D7E6AD" w14:textId="77777777" w:rsidR="00894FA5" w:rsidRPr="009C1070" w:rsidRDefault="00894FA5" w:rsidP="00894FA5">
      <w:pPr>
        <w:pStyle w:val="Prrafodelista"/>
        <w:spacing w:after="0" w:line="360" w:lineRule="auto"/>
        <w:jc w:val="both"/>
        <w:rPr>
          <w:rFonts w:cstheme="minorHAnsi"/>
          <w:color w:val="000000" w:themeColor="text1"/>
          <w:szCs w:val="24"/>
          <w:u w:val="single"/>
        </w:rPr>
      </w:pPr>
    </w:p>
    <w:p w14:paraId="0AEE9787" w14:textId="77777777" w:rsidR="00673BF2" w:rsidRPr="009C1070" w:rsidRDefault="00D5775C" w:rsidP="00673BF2">
      <w:pPr>
        <w:pStyle w:val="Prrafodelista"/>
        <w:numPr>
          <w:ilvl w:val="0"/>
          <w:numId w:val="25"/>
        </w:numPr>
        <w:spacing w:after="0" w:line="360" w:lineRule="auto"/>
        <w:jc w:val="both"/>
        <w:rPr>
          <w:rFonts w:cstheme="minorHAnsi"/>
          <w:color w:val="000000" w:themeColor="text1"/>
          <w:szCs w:val="24"/>
          <w:u w:val="single"/>
        </w:rPr>
      </w:pPr>
      <w:r w:rsidRPr="009C1070">
        <w:rPr>
          <w:rFonts w:cstheme="minorHAnsi"/>
          <w:color w:val="000000" w:themeColor="text1"/>
          <w:szCs w:val="24"/>
          <w:u w:val="single"/>
        </w:rPr>
        <w:t>Artículo 16:</w:t>
      </w:r>
      <w:r w:rsidRPr="009C1070">
        <w:rPr>
          <w:rFonts w:cstheme="minorHAnsi"/>
          <w:color w:val="000000" w:themeColor="text1"/>
          <w:szCs w:val="24"/>
        </w:rPr>
        <w:t xml:space="preserve"> se suprime la referencia al cobro de tasas por el hecho de pedir autorización para realizar una de las actividades reguladas en el inciso tercero del artículo, ya que a criterio de uno de los diputados habría doble tributación al pagar una licencia por realizar dichas actividades y, además, un cobro por la autorización por parte de la autoridad nacional para realizarlas.</w:t>
      </w:r>
      <w:r w:rsidR="00673BF2" w:rsidRPr="009C1070">
        <w:rPr>
          <w:rFonts w:cstheme="minorHAnsi"/>
          <w:color w:val="000000" w:themeColor="text1"/>
          <w:szCs w:val="24"/>
        </w:rPr>
        <w:t xml:space="preserve"> </w:t>
      </w:r>
    </w:p>
    <w:p w14:paraId="6E85332A" w14:textId="39551970" w:rsidR="00894FA5" w:rsidRPr="009C1070" w:rsidRDefault="00673BF2" w:rsidP="00673BF2">
      <w:pPr>
        <w:pStyle w:val="Prrafodelista"/>
        <w:spacing w:after="0" w:line="360" w:lineRule="auto"/>
        <w:jc w:val="both"/>
        <w:rPr>
          <w:rFonts w:cstheme="minorHAnsi"/>
          <w:color w:val="000000" w:themeColor="text1"/>
          <w:szCs w:val="24"/>
          <w:u w:val="single"/>
        </w:rPr>
      </w:pPr>
      <w:r w:rsidRPr="009C1070">
        <w:rPr>
          <w:rFonts w:cstheme="minorHAnsi"/>
          <w:color w:val="000000" w:themeColor="text1"/>
          <w:szCs w:val="24"/>
        </w:rPr>
        <w:t xml:space="preserve">Por otro lado, se suprime el inciso quinto, el cual hacía referencia a que la DGMN recibiría dichos derechos, de manera directa y sin intervención de la Tesorería General de la República. </w:t>
      </w:r>
    </w:p>
    <w:p w14:paraId="515C5986" w14:textId="77777777" w:rsidR="00D5775C" w:rsidRPr="009C1070" w:rsidRDefault="00D5775C" w:rsidP="00D5775C">
      <w:pPr>
        <w:pStyle w:val="Prrafodelista"/>
        <w:rPr>
          <w:rFonts w:cstheme="minorHAnsi"/>
          <w:color w:val="000000" w:themeColor="text1"/>
          <w:szCs w:val="24"/>
          <w:u w:val="single"/>
        </w:rPr>
      </w:pPr>
    </w:p>
    <w:p w14:paraId="3FBEE050" w14:textId="00FFFBEC" w:rsidR="008A43E1" w:rsidRPr="009C1070" w:rsidRDefault="00673BF2" w:rsidP="008A43E1">
      <w:pPr>
        <w:pStyle w:val="Prrafodelista"/>
        <w:numPr>
          <w:ilvl w:val="0"/>
          <w:numId w:val="25"/>
        </w:numPr>
        <w:spacing w:after="0" w:line="360" w:lineRule="auto"/>
        <w:jc w:val="both"/>
        <w:rPr>
          <w:rFonts w:cstheme="minorHAnsi"/>
          <w:color w:val="000000" w:themeColor="text1"/>
          <w:szCs w:val="24"/>
          <w:u w:val="single"/>
        </w:rPr>
      </w:pPr>
      <w:r w:rsidRPr="009C1070">
        <w:rPr>
          <w:rFonts w:cstheme="minorHAnsi"/>
          <w:color w:val="000000" w:themeColor="text1"/>
          <w:szCs w:val="24"/>
          <w:u w:val="single"/>
        </w:rPr>
        <w:t>Artículo 33:</w:t>
      </w:r>
      <w:r w:rsidRPr="009C1070">
        <w:rPr>
          <w:rFonts w:cstheme="minorHAnsi"/>
          <w:color w:val="000000" w:themeColor="text1"/>
          <w:szCs w:val="24"/>
        </w:rPr>
        <w:t xml:space="preserve"> se reemplaza, </w:t>
      </w:r>
      <w:r w:rsidR="00CA0829" w:rsidRPr="009C1070">
        <w:rPr>
          <w:rFonts w:cstheme="minorHAnsi"/>
          <w:color w:val="000000" w:themeColor="text1"/>
          <w:szCs w:val="24"/>
        </w:rPr>
        <w:t>ampliando</w:t>
      </w:r>
      <w:r w:rsidRPr="009C1070">
        <w:rPr>
          <w:rFonts w:cstheme="minorHAnsi"/>
          <w:color w:val="000000" w:themeColor="text1"/>
          <w:szCs w:val="24"/>
        </w:rPr>
        <w:t xml:space="preserve"> los tipos p</w:t>
      </w:r>
      <w:r w:rsidR="00CA0829" w:rsidRPr="009C1070">
        <w:rPr>
          <w:rFonts w:cstheme="minorHAnsi"/>
          <w:color w:val="000000" w:themeColor="text1"/>
          <w:szCs w:val="24"/>
        </w:rPr>
        <w:t>enales que cubren otras conductas, que habían quedado excluidas en el desarrollo, construcción o adquisición de armas químicas. Por otro lado, se iguala la sanción penal de quien produce un arma química, con el que posee una sanción para producirlas, manteniendo presidio en cualquiera de sus grados.</w:t>
      </w:r>
    </w:p>
    <w:p w14:paraId="77702AA1" w14:textId="77777777" w:rsidR="008A43E1" w:rsidRPr="009C1070" w:rsidRDefault="008A43E1" w:rsidP="008A43E1">
      <w:pPr>
        <w:pStyle w:val="Prrafodelista"/>
        <w:spacing w:after="0" w:line="360" w:lineRule="auto"/>
        <w:jc w:val="both"/>
        <w:rPr>
          <w:rFonts w:cstheme="minorHAnsi"/>
          <w:color w:val="000000" w:themeColor="text1"/>
          <w:szCs w:val="24"/>
          <w:u w:val="single"/>
        </w:rPr>
      </w:pPr>
    </w:p>
    <w:p w14:paraId="4EBEAE98" w14:textId="77777777" w:rsidR="00465B47" w:rsidRPr="009C1070" w:rsidRDefault="008A43E1" w:rsidP="00465B47">
      <w:pPr>
        <w:pStyle w:val="Prrafodelista"/>
        <w:numPr>
          <w:ilvl w:val="0"/>
          <w:numId w:val="25"/>
        </w:numPr>
        <w:spacing w:after="0" w:line="360" w:lineRule="auto"/>
        <w:jc w:val="both"/>
        <w:rPr>
          <w:rFonts w:cstheme="minorHAnsi"/>
          <w:color w:val="000000" w:themeColor="text1"/>
          <w:szCs w:val="24"/>
          <w:u w:val="single"/>
        </w:rPr>
      </w:pPr>
      <w:r w:rsidRPr="009C1070">
        <w:rPr>
          <w:rFonts w:cstheme="minorHAnsi"/>
          <w:color w:val="000000" w:themeColor="text1"/>
          <w:szCs w:val="24"/>
          <w:u w:val="single"/>
        </w:rPr>
        <w:t>Artículo 34:</w:t>
      </w:r>
      <w:r w:rsidRPr="009C1070">
        <w:rPr>
          <w:rFonts w:cstheme="minorHAnsi"/>
          <w:color w:val="000000" w:themeColor="text1"/>
          <w:szCs w:val="24"/>
        </w:rPr>
        <w:t xml:space="preserve"> la indicación presentada por los diputados de oposición buscaba igualar en la sanción penal a aquellos que se involucraran en la preparación de un arma química para su empleo, con aquellos que la emplearan.</w:t>
      </w:r>
      <w:r w:rsidR="00465B47" w:rsidRPr="009C1070">
        <w:rPr>
          <w:rFonts w:cstheme="minorHAnsi"/>
          <w:color w:val="000000" w:themeColor="text1"/>
          <w:szCs w:val="24"/>
        </w:rPr>
        <w:t xml:space="preserve"> En el fondo, se está de acuerdo con sancionar con la misma pena a aquellas personas que se vean involucradas en el delito.</w:t>
      </w:r>
      <w:r w:rsidRPr="009C1070">
        <w:rPr>
          <w:rFonts w:cstheme="minorHAnsi"/>
          <w:color w:val="000000" w:themeColor="text1"/>
          <w:szCs w:val="24"/>
        </w:rPr>
        <w:t xml:space="preserve"> La redacción en un principio resultó bastante</w:t>
      </w:r>
      <w:r w:rsidR="00465B47" w:rsidRPr="009C1070">
        <w:rPr>
          <w:rFonts w:cstheme="minorHAnsi"/>
          <w:color w:val="000000" w:themeColor="text1"/>
          <w:szCs w:val="24"/>
        </w:rPr>
        <w:t xml:space="preserve"> poco práctica por lo que en la discusión del artículo cambió, en donde se incorporó el que se involucre en la preparación de un arma para su empleo y además, hace una referencia al artículo 15 del Código Penal, que establece qué es lo que se entiende por autor.</w:t>
      </w:r>
    </w:p>
    <w:p w14:paraId="4F5B6A0B" w14:textId="63A05FE1" w:rsidR="008A43E1" w:rsidRPr="009C1070" w:rsidRDefault="00465B47" w:rsidP="00465B47">
      <w:pPr>
        <w:pStyle w:val="Prrafodelista"/>
        <w:spacing w:after="0" w:line="360" w:lineRule="auto"/>
        <w:jc w:val="both"/>
        <w:rPr>
          <w:rFonts w:cstheme="minorHAnsi"/>
          <w:color w:val="000000" w:themeColor="text1"/>
          <w:szCs w:val="24"/>
        </w:rPr>
      </w:pPr>
      <w:r w:rsidRPr="009C1070">
        <w:rPr>
          <w:rFonts w:cstheme="minorHAnsi"/>
          <w:color w:val="000000" w:themeColor="text1"/>
          <w:szCs w:val="24"/>
          <w:u w:val="single"/>
        </w:rPr>
        <w:t>Respecto de la indicación,</w:t>
      </w:r>
      <w:r w:rsidRPr="009C1070">
        <w:rPr>
          <w:rFonts w:cstheme="minorHAnsi"/>
          <w:color w:val="000000" w:themeColor="text1"/>
          <w:szCs w:val="24"/>
        </w:rPr>
        <w:t xml:space="preserve"> no es necesaria, porque al establecer un tipo penal, siempre se consideran autores:</w:t>
      </w:r>
    </w:p>
    <w:p w14:paraId="2890FA7A" w14:textId="77777777" w:rsidR="00465B47" w:rsidRPr="009C1070" w:rsidRDefault="00465B47" w:rsidP="00465B47">
      <w:pPr>
        <w:pStyle w:val="Prrafodelista"/>
        <w:numPr>
          <w:ilvl w:val="0"/>
          <w:numId w:val="26"/>
        </w:numPr>
        <w:spacing w:after="0" w:line="360" w:lineRule="auto"/>
        <w:jc w:val="both"/>
        <w:rPr>
          <w:rFonts w:cstheme="minorHAnsi"/>
          <w:color w:val="000000" w:themeColor="text1"/>
          <w:szCs w:val="24"/>
        </w:rPr>
      </w:pPr>
      <w:r w:rsidRPr="009C1070">
        <w:rPr>
          <w:rFonts w:cstheme="minorHAnsi"/>
          <w:color w:val="000000" w:themeColor="text1"/>
          <w:szCs w:val="24"/>
        </w:rPr>
        <w:t>Los que toman parte en la ejecución del hecho, sea de una manera inmediata y directa; sea impidiendo o procurando impedir que se evite.</w:t>
      </w:r>
    </w:p>
    <w:p w14:paraId="047192DC" w14:textId="77777777" w:rsidR="00465B47" w:rsidRPr="009C1070" w:rsidRDefault="00465B47" w:rsidP="00465B47">
      <w:pPr>
        <w:pStyle w:val="Prrafodelista"/>
        <w:numPr>
          <w:ilvl w:val="0"/>
          <w:numId w:val="26"/>
        </w:numPr>
        <w:spacing w:after="0" w:line="360" w:lineRule="auto"/>
        <w:jc w:val="both"/>
        <w:rPr>
          <w:rFonts w:cstheme="minorHAnsi"/>
          <w:color w:val="000000" w:themeColor="text1"/>
          <w:szCs w:val="24"/>
        </w:rPr>
      </w:pPr>
      <w:r w:rsidRPr="009C1070">
        <w:rPr>
          <w:rFonts w:cstheme="minorHAnsi"/>
          <w:color w:val="000000" w:themeColor="text1"/>
          <w:szCs w:val="24"/>
        </w:rPr>
        <w:t xml:space="preserve"> Los que fuerzan o inducen directamente a otro a ejecutarlo.</w:t>
      </w:r>
    </w:p>
    <w:p w14:paraId="1A8B2643" w14:textId="0167C15C" w:rsidR="00465B47" w:rsidRPr="009C1070" w:rsidRDefault="00465B47" w:rsidP="00465B47">
      <w:pPr>
        <w:pStyle w:val="Prrafodelista"/>
        <w:numPr>
          <w:ilvl w:val="0"/>
          <w:numId w:val="26"/>
        </w:numPr>
        <w:spacing w:after="0" w:line="360" w:lineRule="auto"/>
        <w:jc w:val="both"/>
        <w:rPr>
          <w:rFonts w:cstheme="minorHAnsi"/>
          <w:color w:val="000000" w:themeColor="text1"/>
          <w:szCs w:val="24"/>
        </w:rPr>
      </w:pPr>
      <w:r w:rsidRPr="009C1070">
        <w:rPr>
          <w:rFonts w:cstheme="minorHAnsi"/>
          <w:color w:val="000000" w:themeColor="text1"/>
          <w:szCs w:val="24"/>
        </w:rPr>
        <w:t>Los que, concertados para su ejecución, facilitan los medios con que se lleva a efecto el hecho o lo presencian sin tomar parte inmediata en él”.</w:t>
      </w:r>
    </w:p>
    <w:p w14:paraId="5F4AA1CE" w14:textId="77777777" w:rsidR="006A52D4" w:rsidRPr="009C1070" w:rsidRDefault="006A52D4" w:rsidP="006A52D4">
      <w:pPr>
        <w:pStyle w:val="Prrafodelista"/>
        <w:spacing w:after="0" w:line="360" w:lineRule="auto"/>
        <w:ind w:left="0"/>
        <w:jc w:val="both"/>
        <w:rPr>
          <w:rFonts w:cstheme="minorHAnsi"/>
          <w:b/>
          <w:szCs w:val="24"/>
        </w:rPr>
      </w:pPr>
    </w:p>
    <w:p w14:paraId="373E6B9B" w14:textId="44FDECD3" w:rsidR="003D706C" w:rsidRDefault="003D706C" w:rsidP="003D706C">
      <w:pPr>
        <w:pStyle w:val="Prrafodelista"/>
        <w:numPr>
          <w:ilvl w:val="0"/>
          <w:numId w:val="1"/>
        </w:numPr>
        <w:spacing w:after="0" w:line="360" w:lineRule="auto"/>
        <w:ind w:left="0"/>
        <w:jc w:val="both"/>
        <w:rPr>
          <w:rFonts w:cstheme="minorHAnsi"/>
          <w:b/>
          <w:sz w:val="24"/>
          <w:szCs w:val="24"/>
        </w:rPr>
      </w:pPr>
      <w:r>
        <w:rPr>
          <w:rFonts w:cstheme="minorHAnsi"/>
          <w:b/>
          <w:sz w:val="24"/>
          <w:szCs w:val="24"/>
        </w:rPr>
        <w:t>TRAMITACIÓN EN LA COMISIÓN DE HACIENDA</w:t>
      </w:r>
      <w:r w:rsidR="006A52D4">
        <w:rPr>
          <w:rFonts w:cstheme="minorHAnsi"/>
          <w:b/>
          <w:sz w:val="24"/>
          <w:szCs w:val="24"/>
        </w:rPr>
        <w:t>,</w:t>
      </w:r>
      <w:r>
        <w:rPr>
          <w:rFonts w:cstheme="minorHAnsi"/>
          <w:b/>
          <w:sz w:val="24"/>
          <w:szCs w:val="24"/>
        </w:rPr>
        <w:t xml:space="preserve"> CÁMARA</w:t>
      </w:r>
      <w:r>
        <w:rPr>
          <w:rStyle w:val="Refdenotaalpie"/>
          <w:rFonts w:cstheme="minorHAnsi"/>
          <w:b/>
          <w:sz w:val="24"/>
          <w:szCs w:val="24"/>
        </w:rPr>
        <w:footnoteReference w:id="6"/>
      </w:r>
    </w:p>
    <w:p w14:paraId="7CBAD593" w14:textId="77777777" w:rsidR="003D706C" w:rsidRPr="009C1070" w:rsidRDefault="003D706C" w:rsidP="003D706C">
      <w:pPr>
        <w:pStyle w:val="Prrafodelista"/>
        <w:spacing w:after="0" w:line="360" w:lineRule="auto"/>
        <w:ind w:left="0"/>
        <w:jc w:val="both"/>
        <w:rPr>
          <w:rFonts w:cstheme="minorHAnsi"/>
          <w:color w:val="000000" w:themeColor="text1"/>
          <w:szCs w:val="24"/>
        </w:rPr>
      </w:pPr>
    </w:p>
    <w:p w14:paraId="1B9DF269" w14:textId="77777777" w:rsidR="009C1070" w:rsidRPr="009C1070" w:rsidRDefault="009C1070" w:rsidP="009C1070">
      <w:pPr>
        <w:spacing w:after="0" w:line="360" w:lineRule="auto"/>
        <w:jc w:val="both"/>
        <w:rPr>
          <w:rFonts w:cstheme="minorHAnsi"/>
          <w:color w:val="000000" w:themeColor="text1"/>
          <w:szCs w:val="24"/>
        </w:rPr>
      </w:pPr>
      <w:r w:rsidRPr="009C1070">
        <w:rPr>
          <w:rFonts w:cstheme="minorHAnsi"/>
          <w:color w:val="000000" w:themeColor="text1"/>
          <w:szCs w:val="24"/>
        </w:rPr>
        <w:t>El informe financiero establece que el proyecto implica un gasto fiscal, que será cubierto con personal e institucional de la Dirección General de Movilización Nacional, pero en ninguna parte del articulado se señala una norma que contemple las fuentes de los recursos reales y efectivos con los que se realizará dicho gasto.</w:t>
      </w:r>
    </w:p>
    <w:p w14:paraId="15696802" w14:textId="77777777" w:rsidR="009C1070" w:rsidRPr="009C1070" w:rsidRDefault="009C1070" w:rsidP="009C1070">
      <w:pPr>
        <w:pStyle w:val="Prrafodelista"/>
        <w:spacing w:after="0" w:line="360" w:lineRule="auto"/>
        <w:jc w:val="both"/>
        <w:rPr>
          <w:rFonts w:cstheme="minorHAnsi"/>
          <w:color w:val="000000" w:themeColor="text1"/>
          <w:szCs w:val="24"/>
        </w:rPr>
      </w:pPr>
    </w:p>
    <w:p w14:paraId="7269B905" w14:textId="74B337C5" w:rsidR="003D706C" w:rsidRPr="009C1070" w:rsidRDefault="009C1070" w:rsidP="009C1070">
      <w:pPr>
        <w:pStyle w:val="Prrafodelista"/>
        <w:spacing w:after="0" w:line="360" w:lineRule="auto"/>
        <w:ind w:left="0"/>
        <w:jc w:val="both"/>
        <w:rPr>
          <w:rFonts w:cstheme="minorHAnsi"/>
          <w:color w:val="000000" w:themeColor="text1"/>
          <w:szCs w:val="24"/>
        </w:rPr>
      </w:pPr>
      <w:r w:rsidRPr="009C1070">
        <w:rPr>
          <w:rFonts w:cstheme="minorHAnsi"/>
          <w:color w:val="000000" w:themeColor="text1"/>
          <w:szCs w:val="24"/>
        </w:rPr>
        <w:t>Sin perjuicio de lo anterior, no hubo modificaciones al proyecto, debido a que ya se incurre en los gastos que se establecen en el proyecto para dar cumplimiento a las convenciones del proyecto de ley. Por lo que este proyecto no implica un mayor gasto fiscal, ya que se consagra lo que la DGMN ya realiza.</w:t>
      </w:r>
    </w:p>
    <w:p w14:paraId="1A6F6E6A" w14:textId="77777777" w:rsidR="009C1070" w:rsidRPr="009C1070" w:rsidRDefault="009C1070" w:rsidP="009C1070">
      <w:pPr>
        <w:pStyle w:val="Prrafodelista"/>
        <w:spacing w:after="0" w:line="360" w:lineRule="auto"/>
        <w:ind w:left="0"/>
        <w:jc w:val="both"/>
        <w:rPr>
          <w:rFonts w:cstheme="minorHAnsi"/>
          <w:b/>
          <w:szCs w:val="24"/>
        </w:rPr>
      </w:pPr>
    </w:p>
    <w:p w14:paraId="37B3DB0D" w14:textId="4EFA2CBF" w:rsidR="00E42E1B" w:rsidRDefault="00B941FA" w:rsidP="00DE1FB5">
      <w:pPr>
        <w:pStyle w:val="Prrafodelista"/>
        <w:numPr>
          <w:ilvl w:val="0"/>
          <w:numId w:val="1"/>
        </w:numPr>
        <w:spacing w:after="0" w:line="360" w:lineRule="auto"/>
        <w:ind w:left="0"/>
        <w:jc w:val="both"/>
        <w:rPr>
          <w:rFonts w:cstheme="minorHAnsi"/>
          <w:b/>
          <w:sz w:val="24"/>
          <w:szCs w:val="24"/>
        </w:rPr>
      </w:pPr>
      <w:r w:rsidRPr="00AF242A">
        <w:rPr>
          <w:rFonts w:cstheme="minorHAnsi"/>
          <w:b/>
          <w:sz w:val="24"/>
          <w:szCs w:val="24"/>
        </w:rPr>
        <w:t>COMENTARIOS.</w:t>
      </w:r>
    </w:p>
    <w:p w14:paraId="64072B4F" w14:textId="4B13092D" w:rsidR="001D33AA" w:rsidRDefault="001D33AA" w:rsidP="00FA7BD4">
      <w:pPr>
        <w:spacing w:after="0" w:line="360" w:lineRule="auto"/>
        <w:jc w:val="both"/>
        <w:rPr>
          <w:rFonts w:cstheme="minorHAnsi"/>
          <w:sz w:val="24"/>
          <w:szCs w:val="24"/>
        </w:rPr>
      </w:pPr>
    </w:p>
    <w:p w14:paraId="3453D52C" w14:textId="7E85BCC7" w:rsidR="00644229" w:rsidRPr="009C1070" w:rsidRDefault="00644229" w:rsidP="00FA7BD4">
      <w:pPr>
        <w:spacing w:after="0" w:line="360" w:lineRule="auto"/>
        <w:jc w:val="both"/>
        <w:rPr>
          <w:rFonts w:cstheme="minorHAnsi"/>
          <w:szCs w:val="24"/>
        </w:rPr>
      </w:pPr>
      <w:r w:rsidRPr="009C1070">
        <w:rPr>
          <w:rFonts w:cstheme="minorHAnsi"/>
          <w:szCs w:val="24"/>
        </w:rPr>
        <w:t>Es un buen proyecto de ley, el cual se hace cargo de implementar a cabalidad las dos convenciones en cuestión que han sido suscritas por el Estado de Chile, lo que ha sido postergado por más de 20 años.</w:t>
      </w:r>
    </w:p>
    <w:p w14:paraId="73DD00E3" w14:textId="4058A481" w:rsidR="00644229" w:rsidRPr="009C1070" w:rsidRDefault="00644229" w:rsidP="00644229">
      <w:pPr>
        <w:spacing w:after="0" w:line="360" w:lineRule="auto"/>
        <w:jc w:val="both"/>
        <w:rPr>
          <w:rFonts w:cstheme="minorHAnsi"/>
          <w:szCs w:val="24"/>
        </w:rPr>
      </w:pPr>
    </w:p>
    <w:p w14:paraId="23ABC1BB" w14:textId="4F14EFA9" w:rsidR="00BB6C75" w:rsidRPr="009C1070" w:rsidRDefault="00BB6C75" w:rsidP="00644229">
      <w:pPr>
        <w:spacing w:after="0" w:line="360" w:lineRule="auto"/>
        <w:jc w:val="both"/>
        <w:rPr>
          <w:rFonts w:cstheme="minorHAnsi"/>
          <w:szCs w:val="24"/>
        </w:rPr>
      </w:pPr>
      <w:r w:rsidRPr="009C1070">
        <w:rPr>
          <w:rFonts w:cstheme="minorHAnsi"/>
          <w:szCs w:val="24"/>
        </w:rPr>
        <w:t>Si bien el proyecto no define lo que se entiende por arma química, esto se encuentra definido en el Decreto Ley N°1.764 que Promulga la Convención sobre la Prohibición del Desarrollo, la Producción, el Almacenamiento y el Empleo de Armas Químicas y sobre su Destrucción, que la define en el Artículo II de la siguiente manera:</w:t>
      </w:r>
    </w:p>
    <w:p w14:paraId="0B429DF4" w14:textId="77777777" w:rsidR="00C45210" w:rsidRPr="009C1070" w:rsidRDefault="00C45210" w:rsidP="00C45210">
      <w:pPr>
        <w:spacing w:after="0" w:line="360" w:lineRule="auto"/>
        <w:jc w:val="both"/>
        <w:rPr>
          <w:rFonts w:cstheme="minorHAnsi"/>
          <w:i/>
          <w:szCs w:val="24"/>
        </w:rPr>
      </w:pPr>
    </w:p>
    <w:p w14:paraId="73EBAEED" w14:textId="77777777" w:rsidR="00C45210" w:rsidRPr="009C1070" w:rsidRDefault="00C45210" w:rsidP="00C45210">
      <w:pPr>
        <w:spacing w:after="0" w:line="360" w:lineRule="auto"/>
        <w:jc w:val="both"/>
        <w:rPr>
          <w:rFonts w:cstheme="minorHAnsi"/>
          <w:i/>
          <w:szCs w:val="24"/>
        </w:rPr>
      </w:pPr>
      <w:r w:rsidRPr="009C1070">
        <w:rPr>
          <w:rFonts w:cstheme="minorHAnsi"/>
          <w:i/>
          <w:szCs w:val="24"/>
        </w:rPr>
        <w:t xml:space="preserve"> “Por "armas químicas" se entiende, conjunta o separadamente:</w:t>
      </w:r>
    </w:p>
    <w:p w14:paraId="5E7580C7" w14:textId="77777777" w:rsidR="00C45210" w:rsidRPr="009C1070" w:rsidRDefault="00C45210" w:rsidP="00C45210">
      <w:pPr>
        <w:pStyle w:val="Prrafodelista"/>
        <w:numPr>
          <w:ilvl w:val="0"/>
          <w:numId w:val="24"/>
        </w:numPr>
        <w:spacing w:after="0" w:line="360" w:lineRule="auto"/>
        <w:jc w:val="both"/>
        <w:rPr>
          <w:rFonts w:cstheme="minorHAnsi"/>
          <w:i/>
          <w:szCs w:val="24"/>
        </w:rPr>
      </w:pPr>
      <w:r w:rsidRPr="009C1070">
        <w:rPr>
          <w:rFonts w:cstheme="minorHAnsi"/>
          <w:i/>
          <w:szCs w:val="24"/>
        </w:rPr>
        <w:t>Las sustancias químicas tóxicas o sus precursores, salvo cuando se destinen a fines no prohibidos por la presente Convención, siempre que los tipos y cantidades de que se trate sean compatibles con esos fines;</w:t>
      </w:r>
    </w:p>
    <w:p w14:paraId="5F88B4F2" w14:textId="77777777" w:rsidR="00C45210" w:rsidRPr="009C1070" w:rsidRDefault="00C45210" w:rsidP="00741FAD">
      <w:pPr>
        <w:pStyle w:val="Prrafodelista"/>
        <w:numPr>
          <w:ilvl w:val="0"/>
          <w:numId w:val="24"/>
        </w:numPr>
        <w:spacing w:after="0" w:line="360" w:lineRule="auto"/>
        <w:jc w:val="both"/>
        <w:rPr>
          <w:rFonts w:cstheme="minorHAnsi"/>
          <w:i/>
          <w:szCs w:val="24"/>
        </w:rPr>
      </w:pPr>
      <w:r w:rsidRPr="009C1070">
        <w:rPr>
          <w:rFonts w:cstheme="minorHAnsi"/>
          <w:i/>
          <w:szCs w:val="24"/>
        </w:rPr>
        <w:t xml:space="preserve">Las municiones o dispositivos destinados de modo expreso a causar la muerte o lesiones mediante las propiedades tóxicas de las sustancias especificadas en el apartado a) que libere el empleo de esas municiones o dispositivos; o </w:t>
      </w:r>
    </w:p>
    <w:p w14:paraId="713AFA9C" w14:textId="1A92953D" w:rsidR="00BB6C75" w:rsidRPr="009C1070" w:rsidRDefault="00C45210" w:rsidP="00741FAD">
      <w:pPr>
        <w:pStyle w:val="Prrafodelista"/>
        <w:numPr>
          <w:ilvl w:val="0"/>
          <w:numId w:val="24"/>
        </w:numPr>
        <w:spacing w:after="0" w:line="360" w:lineRule="auto"/>
        <w:jc w:val="both"/>
        <w:rPr>
          <w:rFonts w:cstheme="minorHAnsi"/>
          <w:i/>
          <w:szCs w:val="24"/>
        </w:rPr>
      </w:pPr>
      <w:r w:rsidRPr="009C1070">
        <w:rPr>
          <w:rFonts w:cstheme="minorHAnsi"/>
          <w:i/>
          <w:szCs w:val="24"/>
        </w:rPr>
        <w:t>Cualquier equipo destinado de modo expreso a ser utilizado directamente en relación con el empleo de las municiones o dispositivos especificados en el apartado b).”</w:t>
      </w:r>
    </w:p>
    <w:p w14:paraId="0473F92A" w14:textId="436B013F" w:rsidR="00C45210" w:rsidRPr="009C1070" w:rsidRDefault="00C45210" w:rsidP="00C45210">
      <w:pPr>
        <w:spacing w:after="0" w:line="360" w:lineRule="auto"/>
        <w:jc w:val="both"/>
        <w:rPr>
          <w:rFonts w:cstheme="minorHAnsi"/>
          <w:i/>
          <w:szCs w:val="24"/>
        </w:rPr>
      </w:pPr>
    </w:p>
    <w:p w14:paraId="3953997D" w14:textId="77777777" w:rsidR="00BD67F9" w:rsidRPr="009C1070" w:rsidRDefault="00BD67F9" w:rsidP="00644229">
      <w:pPr>
        <w:spacing w:after="0" w:line="360" w:lineRule="auto"/>
        <w:jc w:val="both"/>
        <w:rPr>
          <w:rFonts w:cstheme="minorHAnsi"/>
          <w:szCs w:val="24"/>
        </w:rPr>
      </w:pPr>
      <w:r w:rsidRPr="009C1070">
        <w:rPr>
          <w:rFonts w:cstheme="minorHAnsi"/>
          <w:szCs w:val="24"/>
        </w:rPr>
        <w:t xml:space="preserve">Por otro lado, hoy en día existe una deficiencia en la regulación actual, en donde sólo se tipifican las acciones de posesión y porte de armas especiales, entre ellas las químicas y biológicas, la cual tiene una sanción de 5 años y un día. </w:t>
      </w:r>
    </w:p>
    <w:p w14:paraId="08765D38" w14:textId="77777777" w:rsidR="00BD67F9" w:rsidRPr="009C1070" w:rsidRDefault="00BD67F9" w:rsidP="00644229">
      <w:pPr>
        <w:spacing w:after="0" w:line="360" w:lineRule="auto"/>
        <w:jc w:val="both"/>
        <w:rPr>
          <w:rFonts w:cstheme="minorHAnsi"/>
          <w:szCs w:val="24"/>
        </w:rPr>
      </w:pPr>
    </w:p>
    <w:p w14:paraId="15697C1D" w14:textId="2E6DA96E" w:rsidR="00644229" w:rsidRPr="009C1070" w:rsidRDefault="00BD67F9" w:rsidP="00644229">
      <w:pPr>
        <w:spacing w:after="0" w:line="360" w:lineRule="auto"/>
        <w:jc w:val="both"/>
        <w:rPr>
          <w:rFonts w:cstheme="minorHAnsi"/>
          <w:szCs w:val="24"/>
        </w:rPr>
      </w:pPr>
      <w:r w:rsidRPr="009C1070">
        <w:rPr>
          <w:rFonts w:cstheme="minorHAnsi"/>
          <w:szCs w:val="24"/>
        </w:rPr>
        <w:t>Además, no están reguladas las atribuciones de la DGMN, en especial para ejercer el control sobre las sustancias químicas, tóxicas y agentes bacterianos que poder se</w:t>
      </w:r>
      <w:r w:rsidR="00B947E3" w:rsidRPr="009C1070">
        <w:rPr>
          <w:rFonts w:cstheme="minorHAnsi"/>
          <w:szCs w:val="24"/>
        </w:rPr>
        <w:t>r</w:t>
      </w:r>
      <w:r w:rsidRPr="009C1070">
        <w:rPr>
          <w:rFonts w:cstheme="minorHAnsi"/>
          <w:szCs w:val="24"/>
        </w:rPr>
        <w:t xml:space="preserve"> usados o formar parte de este tipo de armas.</w:t>
      </w:r>
      <w:r w:rsidR="00B947E3" w:rsidRPr="009C1070">
        <w:rPr>
          <w:rFonts w:cstheme="minorHAnsi"/>
          <w:szCs w:val="24"/>
        </w:rPr>
        <w:t xml:space="preserve"> </w:t>
      </w:r>
      <w:r w:rsidR="000441AD" w:rsidRPr="009C1070">
        <w:rPr>
          <w:rFonts w:cstheme="minorHAnsi"/>
          <w:szCs w:val="24"/>
        </w:rPr>
        <w:t>E</w:t>
      </w:r>
      <w:r w:rsidR="00B947E3" w:rsidRPr="009C1070">
        <w:rPr>
          <w:rFonts w:cstheme="minorHAnsi"/>
          <w:szCs w:val="24"/>
        </w:rPr>
        <w:t>n razón de lo anterior que se le confieren las siguientes facultades:</w:t>
      </w:r>
      <w:r w:rsidRPr="009C1070">
        <w:rPr>
          <w:rStyle w:val="Refdenotaalpie"/>
          <w:rFonts w:cstheme="minorHAnsi"/>
          <w:szCs w:val="24"/>
        </w:rPr>
        <w:footnoteReference w:id="7"/>
      </w:r>
    </w:p>
    <w:p w14:paraId="7AA4C33C" w14:textId="1DE2C26B" w:rsidR="00B947E3" w:rsidRPr="009C1070" w:rsidRDefault="00B947E3" w:rsidP="00644229">
      <w:pPr>
        <w:spacing w:after="0" w:line="360" w:lineRule="auto"/>
        <w:jc w:val="both"/>
        <w:rPr>
          <w:rFonts w:cstheme="minorHAnsi"/>
          <w:szCs w:val="24"/>
        </w:rPr>
      </w:pPr>
    </w:p>
    <w:p w14:paraId="52C41E11" w14:textId="68EBAE5B" w:rsidR="00B947E3" w:rsidRPr="009C1070" w:rsidRDefault="00B947E3" w:rsidP="00457026">
      <w:pPr>
        <w:pStyle w:val="Prrafodelista"/>
        <w:numPr>
          <w:ilvl w:val="0"/>
          <w:numId w:val="23"/>
        </w:numPr>
        <w:spacing w:after="0" w:line="360" w:lineRule="auto"/>
        <w:jc w:val="both"/>
        <w:rPr>
          <w:rFonts w:cstheme="minorHAnsi"/>
          <w:szCs w:val="24"/>
        </w:rPr>
      </w:pPr>
      <w:r w:rsidRPr="009C1070">
        <w:rPr>
          <w:rFonts w:cstheme="minorHAnsi"/>
          <w:szCs w:val="24"/>
        </w:rPr>
        <w:t>Otorgar licencias y autorizaciones, por las cuales podrá cobrar una tasa anual que no podrá exceder de 2 UTM.</w:t>
      </w:r>
    </w:p>
    <w:p w14:paraId="5AADCF11" w14:textId="77777777" w:rsidR="00B947E3" w:rsidRPr="009C1070" w:rsidRDefault="00B947E3" w:rsidP="00977699">
      <w:pPr>
        <w:pStyle w:val="Prrafodelista"/>
        <w:numPr>
          <w:ilvl w:val="0"/>
          <w:numId w:val="23"/>
        </w:numPr>
        <w:spacing w:after="0" w:line="360" w:lineRule="auto"/>
        <w:jc w:val="both"/>
        <w:rPr>
          <w:rFonts w:cstheme="minorHAnsi"/>
          <w:szCs w:val="24"/>
        </w:rPr>
      </w:pPr>
      <w:r w:rsidRPr="009C1070">
        <w:rPr>
          <w:rFonts w:cstheme="minorHAnsi"/>
          <w:szCs w:val="24"/>
        </w:rPr>
        <w:t xml:space="preserve">Requerir directamente información a los particulares sometidos a control. </w:t>
      </w:r>
    </w:p>
    <w:p w14:paraId="20F32308" w14:textId="77777777" w:rsidR="00B947E3" w:rsidRPr="009C1070" w:rsidRDefault="00B947E3" w:rsidP="005D141B">
      <w:pPr>
        <w:pStyle w:val="Prrafodelista"/>
        <w:numPr>
          <w:ilvl w:val="0"/>
          <w:numId w:val="23"/>
        </w:numPr>
        <w:spacing w:after="0" w:line="360" w:lineRule="auto"/>
        <w:jc w:val="both"/>
        <w:rPr>
          <w:rFonts w:cstheme="minorHAnsi"/>
          <w:szCs w:val="24"/>
        </w:rPr>
      </w:pPr>
      <w:r w:rsidRPr="009C1070">
        <w:rPr>
          <w:rFonts w:cstheme="minorHAnsi"/>
          <w:szCs w:val="24"/>
        </w:rPr>
        <w:t xml:space="preserve">Controlar y fiscalizar el cumplimiento de la ley. </w:t>
      </w:r>
    </w:p>
    <w:p w14:paraId="71D106E2" w14:textId="77777777" w:rsidR="00B947E3" w:rsidRPr="009C1070" w:rsidRDefault="00B947E3" w:rsidP="00310A44">
      <w:pPr>
        <w:pStyle w:val="Prrafodelista"/>
        <w:numPr>
          <w:ilvl w:val="0"/>
          <w:numId w:val="23"/>
        </w:numPr>
        <w:spacing w:after="0" w:line="360" w:lineRule="auto"/>
        <w:jc w:val="both"/>
        <w:rPr>
          <w:rFonts w:cstheme="minorHAnsi"/>
          <w:szCs w:val="24"/>
        </w:rPr>
      </w:pPr>
      <w:r w:rsidRPr="009C1070">
        <w:rPr>
          <w:rFonts w:cstheme="minorHAnsi"/>
          <w:szCs w:val="24"/>
        </w:rPr>
        <w:t xml:space="preserve">Llevar los registros en una base de datos de todas las personas naturales y jurídicas sometidas a control. </w:t>
      </w:r>
    </w:p>
    <w:p w14:paraId="1F4952D2" w14:textId="37AFE42B" w:rsidR="00B947E3" w:rsidRPr="009C1070" w:rsidRDefault="00B947E3" w:rsidP="00310A44">
      <w:pPr>
        <w:pStyle w:val="Prrafodelista"/>
        <w:numPr>
          <w:ilvl w:val="0"/>
          <w:numId w:val="23"/>
        </w:numPr>
        <w:spacing w:after="0" w:line="360" w:lineRule="auto"/>
        <w:jc w:val="both"/>
        <w:rPr>
          <w:rFonts w:cstheme="minorHAnsi"/>
          <w:szCs w:val="24"/>
        </w:rPr>
      </w:pPr>
      <w:r w:rsidRPr="009C1070">
        <w:rPr>
          <w:rFonts w:cstheme="minorHAnsi"/>
          <w:szCs w:val="24"/>
        </w:rPr>
        <w:t xml:space="preserve">Requerir el auxilio de la fuerza pública en los casos que se impida el acceso a las instalaciones o a la información requerida, pudiendo procederse con allanamiento y </w:t>
      </w:r>
      <w:proofErr w:type="spellStart"/>
      <w:r w:rsidRPr="009C1070">
        <w:rPr>
          <w:rFonts w:cstheme="minorHAnsi"/>
          <w:szCs w:val="24"/>
        </w:rPr>
        <w:t>descerrajamiento</w:t>
      </w:r>
      <w:proofErr w:type="spellEnd"/>
      <w:r w:rsidRPr="009C1070">
        <w:rPr>
          <w:rFonts w:cstheme="minorHAnsi"/>
          <w:szCs w:val="24"/>
        </w:rPr>
        <w:t>.</w:t>
      </w:r>
      <w:r w:rsidRPr="009C1070">
        <w:rPr>
          <w:rFonts w:cstheme="minorHAnsi"/>
          <w:szCs w:val="24"/>
        </w:rPr>
        <w:cr/>
      </w:r>
    </w:p>
    <w:p w14:paraId="0D319DF6" w14:textId="3A025DEC" w:rsidR="00BD67F9" w:rsidRPr="009C1070" w:rsidRDefault="00BD67F9" w:rsidP="00644229">
      <w:pPr>
        <w:spacing w:after="0" w:line="360" w:lineRule="auto"/>
        <w:jc w:val="both"/>
        <w:rPr>
          <w:rFonts w:cstheme="minorHAnsi"/>
          <w:szCs w:val="24"/>
        </w:rPr>
      </w:pPr>
    </w:p>
    <w:p w14:paraId="07D9F2CA" w14:textId="39B76DAF" w:rsidR="00BD67F9" w:rsidRPr="009C1070" w:rsidRDefault="00BD67F9" w:rsidP="00644229">
      <w:pPr>
        <w:spacing w:after="0" w:line="360" w:lineRule="auto"/>
        <w:jc w:val="both"/>
        <w:rPr>
          <w:rFonts w:cstheme="minorHAnsi"/>
          <w:szCs w:val="24"/>
        </w:rPr>
      </w:pPr>
      <w:r w:rsidRPr="009C1070">
        <w:rPr>
          <w:rFonts w:cstheme="minorHAnsi"/>
          <w:szCs w:val="24"/>
        </w:rPr>
        <w:t xml:space="preserve">Las sustancias químicas </w:t>
      </w:r>
      <w:r w:rsidR="00B947E3" w:rsidRPr="009C1070">
        <w:rPr>
          <w:rFonts w:cstheme="minorHAnsi"/>
          <w:szCs w:val="24"/>
        </w:rPr>
        <w:t>sujetas a control,</w:t>
      </w:r>
      <w:r w:rsidRPr="009C1070">
        <w:rPr>
          <w:rFonts w:cstheme="minorHAnsi"/>
          <w:szCs w:val="24"/>
        </w:rPr>
        <w:t xml:space="preserve"> por la convención </w:t>
      </w:r>
      <w:r w:rsidR="00B947E3" w:rsidRPr="009C1070">
        <w:rPr>
          <w:rFonts w:cstheme="minorHAnsi"/>
          <w:szCs w:val="24"/>
        </w:rPr>
        <w:t>y por este proyecto de ley son las siguientes:</w:t>
      </w:r>
    </w:p>
    <w:p w14:paraId="0C8CB3B4" w14:textId="475B4D06" w:rsidR="00B947E3" w:rsidRPr="00644229" w:rsidRDefault="00B947E3" w:rsidP="00644229">
      <w:pPr>
        <w:spacing w:after="0" w:line="360" w:lineRule="auto"/>
        <w:jc w:val="both"/>
        <w:rPr>
          <w:rFonts w:cstheme="minorHAnsi"/>
          <w:sz w:val="24"/>
          <w:szCs w:val="24"/>
        </w:rPr>
      </w:pPr>
      <w:r>
        <w:rPr>
          <w:rFonts w:cstheme="minorHAnsi"/>
          <w:noProof/>
          <w:sz w:val="24"/>
          <w:szCs w:val="24"/>
          <w:lang w:eastAsia="es-CL"/>
        </w:rPr>
        <w:drawing>
          <wp:inline distT="0" distB="0" distL="0" distR="0" wp14:anchorId="39D17742" wp14:editId="39D578E0">
            <wp:extent cx="5577840" cy="4114800"/>
            <wp:effectExtent l="0" t="0" r="381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7840" cy="4114800"/>
                    </a:xfrm>
                    <a:prstGeom prst="rect">
                      <a:avLst/>
                    </a:prstGeom>
                    <a:noFill/>
                    <a:ln>
                      <a:noFill/>
                    </a:ln>
                  </pic:spPr>
                </pic:pic>
              </a:graphicData>
            </a:graphic>
          </wp:inline>
        </w:drawing>
      </w:r>
    </w:p>
    <w:p w14:paraId="757A373F" w14:textId="4BB929E1" w:rsidR="00644229" w:rsidRPr="00B947E3" w:rsidRDefault="00B947E3" w:rsidP="00B947E3">
      <w:pPr>
        <w:spacing w:after="0" w:line="360" w:lineRule="auto"/>
        <w:jc w:val="center"/>
        <w:rPr>
          <w:rFonts w:cstheme="minorHAnsi"/>
          <w:sz w:val="18"/>
          <w:szCs w:val="24"/>
        </w:rPr>
      </w:pPr>
      <w:r>
        <w:rPr>
          <w:rFonts w:cstheme="minorHAnsi"/>
          <w:sz w:val="18"/>
          <w:szCs w:val="24"/>
        </w:rPr>
        <w:t>FUENTE: PPT Ministerio de Defensa, 14 de agosto de 2018.</w:t>
      </w:r>
    </w:p>
    <w:p w14:paraId="4DD4D8BA" w14:textId="77777777" w:rsidR="000441AD" w:rsidRDefault="000441AD" w:rsidP="00074212">
      <w:pPr>
        <w:spacing w:after="0" w:line="360" w:lineRule="auto"/>
        <w:jc w:val="both"/>
        <w:rPr>
          <w:rFonts w:cstheme="minorHAnsi"/>
          <w:sz w:val="24"/>
          <w:szCs w:val="20"/>
        </w:rPr>
      </w:pPr>
    </w:p>
    <w:p w14:paraId="1BA8F3CB" w14:textId="4009AA3E" w:rsidR="00074212" w:rsidRPr="009C1070" w:rsidRDefault="00074212" w:rsidP="00074212">
      <w:pPr>
        <w:spacing w:after="0" w:line="360" w:lineRule="auto"/>
        <w:jc w:val="both"/>
        <w:rPr>
          <w:rFonts w:cstheme="minorHAnsi"/>
          <w:szCs w:val="20"/>
        </w:rPr>
      </w:pPr>
      <w:r w:rsidRPr="009C1070">
        <w:rPr>
          <w:rFonts w:cstheme="minorHAnsi"/>
          <w:szCs w:val="20"/>
        </w:rPr>
        <w:t xml:space="preserve">Respecto de las armas químicas, el presidente de la Sociedad Chilena de Química y decano de la Facultad de Ciencias Químicas de la Universidad de Concepción, doctor Eduardo Pereira, explica que la gran dificultad de regular sobre este tema, se debe a que la gran mayoría de los compuestos químicos, son en sí potenciales armas químicas. Por lo que un país que tiene una empresa para producir fármacos o una empresa para producir fertilizantes, tiene en el fondo un arsenal químico. Por otro lado, cree que este tema seguirá vigente, debido a que </w:t>
      </w:r>
      <w:r w:rsidRPr="009C1070">
        <w:rPr>
          <w:rFonts w:cstheme="minorHAnsi"/>
          <w:i/>
          <w:szCs w:val="20"/>
        </w:rPr>
        <w:t>“las armas químicas son las más baratas y más accesibles que puede tener un país, entonces por eso es que cada cierto tiempo surgen, sobre todo en situaciones como las que está viviendo Siria"</w:t>
      </w:r>
      <w:r w:rsidRPr="009C1070">
        <w:rPr>
          <w:rFonts w:cstheme="minorHAnsi"/>
          <w:szCs w:val="20"/>
        </w:rPr>
        <w:t xml:space="preserve">. Además, </w:t>
      </w:r>
      <w:r w:rsidRPr="009C1070">
        <w:rPr>
          <w:rFonts w:cstheme="minorHAnsi"/>
          <w:i/>
          <w:szCs w:val="20"/>
        </w:rPr>
        <w:t>"Las armas químicas, entre comillas, son más baratas, son bastante sencillas a pesar de todo el conocimiento que hay que tener",</w:t>
      </w:r>
      <w:r w:rsidRPr="009C1070">
        <w:rPr>
          <w:rFonts w:cstheme="minorHAnsi"/>
          <w:szCs w:val="20"/>
        </w:rPr>
        <w:t xml:space="preserve"> </w:t>
      </w:r>
      <w:r w:rsidRPr="009C1070">
        <w:rPr>
          <w:rFonts w:cstheme="minorHAnsi"/>
          <w:i/>
          <w:szCs w:val="20"/>
        </w:rPr>
        <w:t>recalca, recordando que todo la historia de las armas químicas viene de la mano con el desarrollo de fertilizantes.</w:t>
      </w:r>
      <w:r w:rsidRPr="009C1070">
        <w:rPr>
          <w:rStyle w:val="Refdenotaalpie"/>
          <w:rFonts w:cstheme="minorHAnsi"/>
          <w:i/>
          <w:szCs w:val="20"/>
        </w:rPr>
        <w:footnoteReference w:id="8"/>
      </w:r>
    </w:p>
    <w:p w14:paraId="3B9D7D86" w14:textId="77777777" w:rsidR="00074212" w:rsidRPr="00074212" w:rsidRDefault="00074212" w:rsidP="00074212">
      <w:pPr>
        <w:spacing w:after="0" w:line="360" w:lineRule="auto"/>
        <w:jc w:val="both"/>
        <w:rPr>
          <w:rFonts w:cstheme="minorHAnsi"/>
          <w:sz w:val="24"/>
          <w:szCs w:val="20"/>
        </w:rPr>
      </w:pPr>
    </w:p>
    <w:sectPr w:rsidR="00074212" w:rsidRPr="00074212" w:rsidSect="001F0A6B">
      <w:footerReference w:type="default" r:id="rId10"/>
      <w:headerReference w:type="first" r:id="rId11"/>
      <w:footerReference w:type="first" r:id="rId12"/>
      <w:pgSz w:w="12240" w:h="15840" w:code="1"/>
      <w:pgMar w:top="1418" w:right="1701" w:bottom="1418" w:left="1701" w:header="567"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713B0A" w14:textId="77777777" w:rsidR="00CF375E" w:rsidRDefault="00CF375E" w:rsidP="00AC1566">
      <w:pPr>
        <w:spacing w:after="0" w:line="240" w:lineRule="auto"/>
      </w:pPr>
      <w:r>
        <w:separator/>
      </w:r>
    </w:p>
  </w:endnote>
  <w:endnote w:type="continuationSeparator" w:id="0">
    <w:p w14:paraId="5ABF7E9A" w14:textId="77777777" w:rsidR="00CF375E" w:rsidRDefault="00CF375E" w:rsidP="00AC1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5941F" w14:textId="77777777" w:rsidR="001D33AA" w:rsidRPr="00C973FC" w:rsidRDefault="001D33AA" w:rsidP="001F0A6B">
    <w:pPr>
      <w:pStyle w:val="Encabezado"/>
      <w:spacing w:line="288" w:lineRule="auto"/>
      <w:jc w:val="center"/>
      <w:rPr>
        <w:b/>
        <w:color w:val="587993"/>
        <w:sz w:val="20"/>
        <w:szCs w:val="20"/>
      </w:rPr>
    </w:pPr>
  </w:p>
  <w:p w14:paraId="67603D41" w14:textId="77777777" w:rsidR="001D33AA" w:rsidRPr="00BE513B" w:rsidRDefault="001D33AA" w:rsidP="001F0A6B">
    <w:pPr>
      <w:pStyle w:val="Piedepgina"/>
      <w:tabs>
        <w:tab w:val="clear" w:pos="8838"/>
        <w:tab w:val="right" w:pos="9724"/>
      </w:tabs>
      <w:spacing w:line="288" w:lineRule="auto"/>
      <w:ind w:left="-935" w:right="-886"/>
      <w:jc w:val="center"/>
      <w:rPr>
        <w:rFonts w:ascii="Georgia" w:hAnsi="Georgia"/>
        <w:color w:val="4D4D4D"/>
        <w:spacing w:val="6"/>
        <w:sz w:val="16"/>
        <w:lang w:val="pt-BR"/>
      </w:rPr>
    </w:pPr>
    <w:r>
      <w:rPr>
        <w:rFonts w:ascii="Georgia" w:hAnsi="Georgia"/>
        <w:noProof/>
        <w:color w:val="4D4D4D"/>
        <w:spacing w:val="6"/>
        <w:sz w:val="16"/>
        <w:lang w:eastAsia="es-CL"/>
      </w:rPr>
      <w:drawing>
        <wp:inline distT="0" distB="0" distL="0" distR="0" wp14:anchorId="6864DBE7" wp14:editId="00552675">
          <wp:extent cx="5610225" cy="381000"/>
          <wp:effectExtent l="0" t="0" r="9525" b="0"/>
          <wp:docPr id="2" name="Imagen 2" descr="Captura de pantalla 2014-03-21 a la(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 de pantalla 2014-03-21 a la(s)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3810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BCE04" w14:textId="77777777" w:rsidR="001D33AA" w:rsidRPr="00BE513B" w:rsidRDefault="001D33AA" w:rsidP="001F0A6B">
    <w:pPr>
      <w:pStyle w:val="Piedepgina"/>
      <w:tabs>
        <w:tab w:val="clear" w:pos="8838"/>
        <w:tab w:val="right" w:pos="9724"/>
      </w:tabs>
      <w:spacing w:line="312" w:lineRule="auto"/>
      <w:ind w:left="-935" w:right="-886"/>
      <w:jc w:val="center"/>
      <w:rPr>
        <w:rFonts w:ascii="Georgia" w:hAnsi="Georgia"/>
        <w:color w:val="4D4D4D"/>
        <w:spacing w:val="8"/>
        <w:sz w:val="16"/>
        <w:lang w:val="pt-BR"/>
      </w:rPr>
    </w:pPr>
    <w:r>
      <w:rPr>
        <w:rFonts w:ascii="Georgia" w:hAnsi="Georgia"/>
        <w:noProof/>
        <w:color w:val="4D4D4D"/>
        <w:spacing w:val="8"/>
        <w:sz w:val="16"/>
        <w:lang w:eastAsia="es-CL"/>
      </w:rPr>
      <w:drawing>
        <wp:inline distT="0" distB="0" distL="0" distR="0" wp14:anchorId="621C818B" wp14:editId="7AA2A555">
          <wp:extent cx="5610225" cy="381000"/>
          <wp:effectExtent l="0" t="0" r="9525" b="0"/>
          <wp:docPr id="4" name="Imagen 4" descr="Captura de pantalla 2014-03-21 a la(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tura de pantalla 2014-03-21 a la(s)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3810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B9AF75" w14:textId="77777777" w:rsidR="00CF375E" w:rsidRDefault="00CF375E" w:rsidP="00AC1566">
      <w:pPr>
        <w:spacing w:after="0" w:line="240" w:lineRule="auto"/>
      </w:pPr>
      <w:r>
        <w:separator/>
      </w:r>
    </w:p>
  </w:footnote>
  <w:footnote w:type="continuationSeparator" w:id="0">
    <w:p w14:paraId="6F0C09E1" w14:textId="77777777" w:rsidR="00CF375E" w:rsidRDefault="00CF375E" w:rsidP="00AC1566">
      <w:pPr>
        <w:spacing w:after="0" w:line="240" w:lineRule="auto"/>
      </w:pPr>
      <w:r>
        <w:continuationSeparator/>
      </w:r>
    </w:p>
  </w:footnote>
  <w:footnote w:id="1">
    <w:p w14:paraId="6C4F0EA7" w14:textId="0C0A6F54" w:rsidR="001D33AA" w:rsidRDefault="001D33AA">
      <w:pPr>
        <w:pStyle w:val="Textonotapie"/>
      </w:pPr>
      <w:r>
        <w:rPr>
          <w:rStyle w:val="Refdenotaalpie"/>
        </w:rPr>
        <w:footnoteRef/>
      </w:r>
      <w:r>
        <w:t xml:space="preserve"> Boletín </w:t>
      </w:r>
      <w:r w:rsidR="00CB00A1">
        <w:t>11.919-02</w:t>
      </w:r>
    </w:p>
  </w:footnote>
  <w:footnote w:id="2">
    <w:p w14:paraId="123ABBDA" w14:textId="3911A7C4" w:rsidR="009F480C" w:rsidRDefault="009F480C">
      <w:pPr>
        <w:pStyle w:val="Textonotapie"/>
      </w:pPr>
      <w:r>
        <w:rPr>
          <w:rStyle w:val="Refdenotaalpie"/>
        </w:rPr>
        <w:footnoteRef/>
      </w:r>
      <w:r>
        <w:t xml:space="preserve"> Ibid. </w:t>
      </w:r>
    </w:p>
  </w:footnote>
  <w:footnote w:id="3">
    <w:p w14:paraId="3DE84219" w14:textId="4AA95946" w:rsidR="001D33AA" w:rsidRDefault="001D33AA">
      <w:pPr>
        <w:pStyle w:val="Textonotapie"/>
      </w:pPr>
      <w:r>
        <w:rPr>
          <w:rStyle w:val="Refdenotaalpie"/>
        </w:rPr>
        <w:footnoteRef/>
      </w:r>
      <w:r>
        <w:t xml:space="preserve"> Ibid. </w:t>
      </w:r>
    </w:p>
  </w:footnote>
  <w:footnote w:id="4">
    <w:p w14:paraId="2D4DECAE" w14:textId="4A83DA4C" w:rsidR="00CD2A82" w:rsidRDefault="001D33AA">
      <w:pPr>
        <w:pStyle w:val="Textonotapie"/>
      </w:pPr>
      <w:r>
        <w:rPr>
          <w:rStyle w:val="Refdenotaalpie"/>
        </w:rPr>
        <w:footnoteRef/>
      </w:r>
      <w:r>
        <w:t xml:space="preserve"> </w:t>
      </w:r>
      <w:r w:rsidR="00CD2A82">
        <w:t>Ibid.</w:t>
      </w:r>
    </w:p>
  </w:footnote>
  <w:footnote w:id="5">
    <w:p w14:paraId="3934B978" w14:textId="5480B240" w:rsidR="006A52D4" w:rsidRDefault="006A52D4">
      <w:pPr>
        <w:pStyle w:val="Textonotapie"/>
      </w:pPr>
      <w:r>
        <w:rPr>
          <w:rStyle w:val="Refdenotaalpie"/>
        </w:rPr>
        <w:footnoteRef/>
      </w:r>
      <w:r>
        <w:t xml:space="preserve"> Informe de la Comisión de Defensa Nacional. Disponible en : </w:t>
      </w:r>
      <w:hyperlink r:id="rId1" w:history="1">
        <w:r w:rsidRPr="00E95F77">
          <w:rPr>
            <w:rStyle w:val="Hipervnculo"/>
          </w:rPr>
          <w:t>http://www.senado.cl/appsenado/templates/tramitacion/index.php?boletin_ini=11919-02</w:t>
        </w:r>
      </w:hyperlink>
    </w:p>
  </w:footnote>
  <w:footnote w:id="6">
    <w:p w14:paraId="3E23CA21" w14:textId="7D45E93D" w:rsidR="003D706C" w:rsidRDefault="003D706C" w:rsidP="003D706C">
      <w:pPr>
        <w:pStyle w:val="Textonotapie"/>
        <w:tabs>
          <w:tab w:val="left" w:pos="1507"/>
        </w:tabs>
      </w:pPr>
      <w:r>
        <w:rPr>
          <w:rStyle w:val="Refdenotaalpie"/>
        </w:rPr>
        <w:footnoteRef/>
      </w:r>
      <w:r>
        <w:t xml:space="preserve"> </w:t>
      </w:r>
      <w:r w:rsidR="006A52D4">
        <w:t xml:space="preserve">Ibid. </w:t>
      </w:r>
    </w:p>
  </w:footnote>
  <w:footnote w:id="7">
    <w:p w14:paraId="2333F889" w14:textId="0334C3BE" w:rsidR="00BD67F9" w:rsidRDefault="00BD67F9">
      <w:pPr>
        <w:pStyle w:val="Textonotapie"/>
      </w:pPr>
      <w:r>
        <w:rPr>
          <w:rStyle w:val="Refdenotaalpie"/>
        </w:rPr>
        <w:footnoteRef/>
      </w:r>
      <w:r>
        <w:t xml:space="preserve"> Presentación PPT del Ministerio de Defensa Nacional, de fecha 14 de agosto de 2018. Disponible en: </w:t>
      </w:r>
      <w:hyperlink r:id="rId2" w:history="1">
        <w:r w:rsidRPr="00A53473">
          <w:rPr>
            <w:rStyle w:val="Hipervnculo"/>
          </w:rPr>
          <w:t>https://www.camara.cl/pdf.aspx?prmID=144411&amp;prmTIPO=DOCUMENTOCOMISION</w:t>
        </w:r>
      </w:hyperlink>
      <w:r>
        <w:t xml:space="preserve"> </w:t>
      </w:r>
    </w:p>
  </w:footnote>
  <w:footnote w:id="8">
    <w:p w14:paraId="0AFF1178" w14:textId="2411EB0B" w:rsidR="00074212" w:rsidRDefault="00074212">
      <w:pPr>
        <w:pStyle w:val="Textonotapie"/>
      </w:pPr>
      <w:r>
        <w:rPr>
          <w:rStyle w:val="Refdenotaalpie"/>
        </w:rPr>
        <w:footnoteRef/>
      </w:r>
      <w:r>
        <w:t xml:space="preserve"> </w:t>
      </w:r>
      <w:r w:rsidRPr="00074212">
        <w:t xml:space="preserve">Fuente: Emol.com - </w:t>
      </w:r>
      <w:hyperlink r:id="rId3" w:history="1">
        <w:r w:rsidRPr="0098578D">
          <w:rPr>
            <w:rStyle w:val="Hipervnculo"/>
          </w:rPr>
          <w:t>http://www.emol.com/noticias/Internacional/2018/04/21/903375/Experto-chileno-y-uso-de-armas-quimicas-Se-creia-que-este-era-un-tema-relativamente-superado.html</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52AD2" w14:textId="77777777" w:rsidR="001D33AA" w:rsidRDefault="001D33AA" w:rsidP="001F0A6B">
    <w:pPr>
      <w:pStyle w:val="Encabezado"/>
      <w:ind w:left="-1134"/>
    </w:pPr>
    <w:r>
      <w:rPr>
        <w:noProof/>
        <w:lang w:eastAsia="es-CL"/>
      </w:rPr>
      <w:drawing>
        <wp:inline distT="0" distB="0" distL="0" distR="0" wp14:anchorId="5DB0FB71" wp14:editId="69AB0CF2">
          <wp:extent cx="7010400" cy="80962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0400"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28E4"/>
    <w:multiLevelType w:val="hybridMultilevel"/>
    <w:tmpl w:val="D9D8C84A"/>
    <w:lvl w:ilvl="0" w:tplc="340A0017">
      <w:start w:val="1"/>
      <w:numFmt w:val="lowerLetter"/>
      <w:lvlText w:val="%1)"/>
      <w:lvlJc w:val="left"/>
      <w:pPr>
        <w:ind w:left="825" w:hanging="360"/>
      </w:pPr>
    </w:lvl>
    <w:lvl w:ilvl="1" w:tplc="340A0019" w:tentative="1">
      <w:start w:val="1"/>
      <w:numFmt w:val="lowerLetter"/>
      <w:lvlText w:val="%2."/>
      <w:lvlJc w:val="left"/>
      <w:pPr>
        <w:ind w:left="1545" w:hanging="360"/>
      </w:pPr>
    </w:lvl>
    <w:lvl w:ilvl="2" w:tplc="340A001B" w:tentative="1">
      <w:start w:val="1"/>
      <w:numFmt w:val="lowerRoman"/>
      <w:lvlText w:val="%3."/>
      <w:lvlJc w:val="right"/>
      <w:pPr>
        <w:ind w:left="2265" w:hanging="180"/>
      </w:pPr>
    </w:lvl>
    <w:lvl w:ilvl="3" w:tplc="340A000F" w:tentative="1">
      <w:start w:val="1"/>
      <w:numFmt w:val="decimal"/>
      <w:lvlText w:val="%4."/>
      <w:lvlJc w:val="left"/>
      <w:pPr>
        <w:ind w:left="2985" w:hanging="360"/>
      </w:pPr>
    </w:lvl>
    <w:lvl w:ilvl="4" w:tplc="340A0019" w:tentative="1">
      <w:start w:val="1"/>
      <w:numFmt w:val="lowerLetter"/>
      <w:lvlText w:val="%5."/>
      <w:lvlJc w:val="left"/>
      <w:pPr>
        <w:ind w:left="3705" w:hanging="360"/>
      </w:pPr>
    </w:lvl>
    <w:lvl w:ilvl="5" w:tplc="340A001B" w:tentative="1">
      <w:start w:val="1"/>
      <w:numFmt w:val="lowerRoman"/>
      <w:lvlText w:val="%6."/>
      <w:lvlJc w:val="right"/>
      <w:pPr>
        <w:ind w:left="4425" w:hanging="180"/>
      </w:pPr>
    </w:lvl>
    <w:lvl w:ilvl="6" w:tplc="340A000F" w:tentative="1">
      <w:start w:val="1"/>
      <w:numFmt w:val="decimal"/>
      <w:lvlText w:val="%7."/>
      <w:lvlJc w:val="left"/>
      <w:pPr>
        <w:ind w:left="5145" w:hanging="360"/>
      </w:pPr>
    </w:lvl>
    <w:lvl w:ilvl="7" w:tplc="340A0019" w:tentative="1">
      <w:start w:val="1"/>
      <w:numFmt w:val="lowerLetter"/>
      <w:lvlText w:val="%8."/>
      <w:lvlJc w:val="left"/>
      <w:pPr>
        <w:ind w:left="5865" w:hanging="360"/>
      </w:pPr>
    </w:lvl>
    <w:lvl w:ilvl="8" w:tplc="340A001B" w:tentative="1">
      <w:start w:val="1"/>
      <w:numFmt w:val="lowerRoman"/>
      <w:lvlText w:val="%9."/>
      <w:lvlJc w:val="right"/>
      <w:pPr>
        <w:ind w:left="6585" w:hanging="180"/>
      </w:pPr>
    </w:lvl>
  </w:abstractNum>
  <w:abstractNum w:abstractNumId="1">
    <w:nsid w:val="02A062AA"/>
    <w:multiLevelType w:val="hybridMultilevel"/>
    <w:tmpl w:val="E98C23A6"/>
    <w:lvl w:ilvl="0" w:tplc="E8AEDA5A">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4AF5C18"/>
    <w:multiLevelType w:val="hybridMultilevel"/>
    <w:tmpl w:val="2612FE3A"/>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0CBD68AF"/>
    <w:multiLevelType w:val="hybridMultilevel"/>
    <w:tmpl w:val="3A86AC52"/>
    <w:lvl w:ilvl="0" w:tplc="7B606D80">
      <w:start w:val="1"/>
      <w:numFmt w:val="decimal"/>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
    <w:nsid w:val="0CD31D2E"/>
    <w:multiLevelType w:val="hybridMultilevel"/>
    <w:tmpl w:val="6E843E16"/>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12C00E11"/>
    <w:multiLevelType w:val="hybridMultilevel"/>
    <w:tmpl w:val="545221A8"/>
    <w:lvl w:ilvl="0" w:tplc="D1C4D2E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43E3EFA"/>
    <w:multiLevelType w:val="hybridMultilevel"/>
    <w:tmpl w:val="1242C0AA"/>
    <w:lvl w:ilvl="0" w:tplc="35681D6C">
      <w:numFmt w:val="bullet"/>
      <w:lvlText w:val="-"/>
      <w:lvlJc w:val="left"/>
      <w:pPr>
        <w:ind w:left="720" w:hanging="360"/>
      </w:pPr>
      <w:rPr>
        <w:rFonts w:ascii="Calibri" w:eastAsiaTheme="minorHAnsi" w:hAnsi="Calibri" w:cs="Calibri" w:hint="default"/>
        <w:b/>
        <w:u w:val="single"/>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1C6D2F94"/>
    <w:multiLevelType w:val="hybridMultilevel"/>
    <w:tmpl w:val="F5404F1C"/>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C8D088D"/>
    <w:multiLevelType w:val="hybridMultilevel"/>
    <w:tmpl w:val="75FE2FE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22C17D78"/>
    <w:multiLevelType w:val="hybridMultilevel"/>
    <w:tmpl w:val="973072DE"/>
    <w:lvl w:ilvl="0" w:tplc="414EAA6C">
      <w:numFmt w:val="bullet"/>
      <w:lvlText w:val="-"/>
      <w:lvlJc w:val="left"/>
      <w:pPr>
        <w:ind w:left="720" w:hanging="360"/>
      </w:pPr>
      <w:rPr>
        <w:rFonts w:ascii="Calibri" w:eastAsiaTheme="minorHAns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26B649CB"/>
    <w:multiLevelType w:val="hybridMultilevel"/>
    <w:tmpl w:val="54AEF01C"/>
    <w:lvl w:ilvl="0" w:tplc="032E50F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275C2251"/>
    <w:multiLevelType w:val="hybridMultilevel"/>
    <w:tmpl w:val="03448CC2"/>
    <w:lvl w:ilvl="0" w:tplc="3454F066">
      <w:start w:val="1"/>
      <w:numFmt w:val="lowerLetter"/>
      <w:lvlText w:val="%1."/>
      <w:lvlJc w:val="left"/>
      <w:pPr>
        <w:ind w:left="1776" w:hanging="360"/>
      </w:pPr>
      <w:rPr>
        <w:rFonts w:hint="default"/>
      </w:rPr>
    </w:lvl>
    <w:lvl w:ilvl="1" w:tplc="340A0019" w:tentative="1">
      <w:start w:val="1"/>
      <w:numFmt w:val="lowerLetter"/>
      <w:lvlText w:val="%2."/>
      <w:lvlJc w:val="left"/>
      <w:pPr>
        <w:ind w:left="2496" w:hanging="360"/>
      </w:pPr>
    </w:lvl>
    <w:lvl w:ilvl="2" w:tplc="340A001B" w:tentative="1">
      <w:start w:val="1"/>
      <w:numFmt w:val="lowerRoman"/>
      <w:lvlText w:val="%3."/>
      <w:lvlJc w:val="right"/>
      <w:pPr>
        <w:ind w:left="3216" w:hanging="180"/>
      </w:pPr>
    </w:lvl>
    <w:lvl w:ilvl="3" w:tplc="340A000F" w:tentative="1">
      <w:start w:val="1"/>
      <w:numFmt w:val="decimal"/>
      <w:lvlText w:val="%4."/>
      <w:lvlJc w:val="left"/>
      <w:pPr>
        <w:ind w:left="3936" w:hanging="360"/>
      </w:pPr>
    </w:lvl>
    <w:lvl w:ilvl="4" w:tplc="340A0019" w:tentative="1">
      <w:start w:val="1"/>
      <w:numFmt w:val="lowerLetter"/>
      <w:lvlText w:val="%5."/>
      <w:lvlJc w:val="left"/>
      <w:pPr>
        <w:ind w:left="4656" w:hanging="360"/>
      </w:pPr>
    </w:lvl>
    <w:lvl w:ilvl="5" w:tplc="340A001B" w:tentative="1">
      <w:start w:val="1"/>
      <w:numFmt w:val="lowerRoman"/>
      <w:lvlText w:val="%6."/>
      <w:lvlJc w:val="right"/>
      <w:pPr>
        <w:ind w:left="5376" w:hanging="180"/>
      </w:pPr>
    </w:lvl>
    <w:lvl w:ilvl="6" w:tplc="340A000F" w:tentative="1">
      <w:start w:val="1"/>
      <w:numFmt w:val="decimal"/>
      <w:lvlText w:val="%7."/>
      <w:lvlJc w:val="left"/>
      <w:pPr>
        <w:ind w:left="6096" w:hanging="360"/>
      </w:pPr>
    </w:lvl>
    <w:lvl w:ilvl="7" w:tplc="340A0019" w:tentative="1">
      <w:start w:val="1"/>
      <w:numFmt w:val="lowerLetter"/>
      <w:lvlText w:val="%8."/>
      <w:lvlJc w:val="left"/>
      <w:pPr>
        <w:ind w:left="6816" w:hanging="360"/>
      </w:pPr>
    </w:lvl>
    <w:lvl w:ilvl="8" w:tplc="340A001B" w:tentative="1">
      <w:start w:val="1"/>
      <w:numFmt w:val="lowerRoman"/>
      <w:lvlText w:val="%9."/>
      <w:lvlJc w:val="right"/>
      <w:pPr>
        <w:ind w:left="7536" w:hanging="180"/>
      </w:pPr>
    </w:lvl>
  </w:abstractNum>
  <w:abstractNum w:abstractNumId="12">
    <w:nsid w:val="2F267262"/>
    <w:multiLevelType w:val="hybridMultilevel"/>
    <w:tmpl w:val="C0BECFD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2FB31897"/>
    <w:multiLevelType w:val="hybridMultilevel"/>
    <w:tmpl w:val="5EBE269C"/>
    <w:lvl w:ilvl="0" w:tplc="3B1E4856">
      <w:start w:val="1"/>
      <w:numFmt w:val="decimal"/>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4">
    <w:nsid w:val="3464158D"/>
    <w:multiLevelType w:val="hybridMultilevel"/>
    <w:tmpl w:val="230A9C42"/>
    <w:lvl w:ilvl="0" w:tplc="A0FC8426">
      <w:start w:val="3"/>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38E6069C"/>
    <w:multiLevelType w:val="hybridMultilevel"/>
    <w:tmpl w:val="D0D0622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45DB318D"/>
    <w:multiLevelType w:val="hybridMultilevel"/>
    <w:tmpl w:val="231681C8"/>
    <w:lvl w:ilvl="0" w:tplc="CFE04DB8">
      <w:start w:val="2"/>
      <w:numFmt w:val="bullet"/>
      <w:lvlText w:val="-"/>
      <w:lvlJc w:val="left"/>
      <w:pPr>
        <w:ind w:left="720" w:hanging="360"/>
      </w:pPr>
      <w:rPr>
        <w:rFonts w:ascii="Calibri" w:eastAsiaTheme="minorHAnsi" w:hAnsi="Calibri" w:cstheme="minorHAnsi" w:hint="default"/>
        <w:b w:val="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nsid w:val="56AF3601"/>
    <w:multiLevelType w:val="hybridMultilevel"/>
    <w:tmpl w:val="11461D8C"/>
    <w:lvl w:ilvl="0" w:tplc="600C09B0">
      <w:start w:val="1"/>
      <w:numFmt w:val="decimal"/>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8">
    <w:nsid w:val="5C920FBD"/>
    <w:multiLevelType w:val="hybridMultilevel"/>
    <w:tmpl w:val="4A585EC2"/>
    <w:lvl w:ilvl="0" w:tplc="B1966E6A">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nsid w:val="5CB67F67"/>
    <w:multiLevelType w:val="hybridMultilevel"/>
    <w:tmpl w:val="C284B6D4"/>
    <w:lvl w:ilvl="0" w:tplc="8F181EC2">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62E94C29"/>
    <w:multiLevelType w:val="hybridMultilevel"/>
    <w:tmpl w:val="A1FA649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nsid w:val="654273A2"/>
    <w:multiLevelType w:val="hybridMultilevel"/>
    <w:tmpl w:val="08F60442"/>
    <w:lvl w:ilvl="0" w:tplc="C2F486A6">
      <w:start w:val="1"/>
      <w:numFmt w:val="bullet"/>
      <w:lvlText w:val="-"/>
      <w:lvlJc w:val="left"/>
      <w:pPr>
        <w:ind w:left="720" w:hanging="360"/>
      </w:pPr>
      <w:rPr>
        <w:rFonts w:ascii="Calibri" w:eastAsiaTheme="minorHAnsi" w:hAnsi="Calibri" w:cstheme="minorHAnsi" w:hint="default"/>
        <w: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nsid w:val="674F1CBD"/>
    <w:multiLevelType w:val="hybridMultilevel"/>
    <w:tmpl w:val="20B669B4"/>
    <w:lvl w:ilvl="0" w:tplc="07627B72">
      <w:start w:val="367"/>
      <w:numFmt w:val="bullet"/>
      <w:lvlText w:val="-"/>
      <w:lvlJc w:val="left"/>
      <w:pPr>
        <w:ind w:left="720" w:hanging="360"/>
      </w:pPr>
      <w:rPr>
        <w:rFonts w:ascii="Calibri" w:eastAsiaTheme="minorHAnsi" w:hAnsi="Calibri" w:cstheme="minorHAns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nsid w:val="6E1C69A7"/>
    <w:multiLevelType w:val="hybridMultilevel"/>
    <w:tmpl w:val="05861E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70257E4F"/>
    <w:multiLevelType w:val="hybridMultilevel"/>
    <w:tmpl w:val="3042BAF0"/>
    <w:lvl w:ilvl="0" w:tplc="D1C4D2E4">
      <w:start w:val="1"/>
      <w:numFmt w:val="upperRoman"/>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7BF704AA"/>
    <w:multiLevelType w:val="hybridMultilevel"/>
    <w:tmpl w:val="016605A6"/>
    <w:lvl w:ilvl="0" w:tplc="A7AE4588">
      <w:start w:val="1"/>
      <w:numFmt w:val="decimal"/>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num w:numId="1">
    <w:abstractNumId w:val="5"/>
  </w:num>
  <w:num w:numId="2">
    <w:abstractNumId w:val="14"/>
  </w:num>
  <w:num w:numId="3">
    <w:abstractNumId w:val="12"/>
  </w:num>
  <w:num w:numId="4">
    <w:abstractNumId w:val="10"/>
  </w:num>
  <w:num w:numId="5">
    <w:abstractNumId w:val="25"/>
  </w:num>
  <w:num w:numId="6">
    <w:abstractNumId w:val="17"/>
  </w:num>
  <w:num w:numId="7">
    <w:abstractNumId w:val="13"/>
  </w:num>
  <w:num w:numId="8">
    <w:abstractNumId w:val="3"/>
  </w:num>
  <w:num w:numId="9">
    <w:abstractNumId w:val="24"/>
  </w:num>
  <w:num w:numId="10">
    <w:abstractNumId w:val="7"/>
  </w:num>
  <w:num w:numId="11">
    <w:abstractNumId w:val="4"/>
  </w:num>
  <w:num w:numId="12">
    <w:abstractNumId w:val="16"/>
  </w:num>
  <w:num w:numId="13">
    <w:abstractNumId w:val="2"/>
  </w:num>
  <w:num w:numId="14">
    <w:abstractNumId w:val="22"/>
  </w:num>
  <w:num w:numId="15">
    <w:abstractNumId w:val="18"/>
  </w:num>
  <w:num w:numId="16">
    <w:abstractNumId w:val="20"/>
  </w:num>
  <w:num w:numId="17">
    <w:abstractNumId w:val="21"/>
  </w:num>
  <w:num w:numId="18">
    <w:abstractNumId w:val="23"/>
  </w:num>
  <w:num w:numId="19">
    <w:abstractNumId w:val="1"/>
  </w:num>
  <w:num w:numId="20">
    <w:abstractNumId w:val="8"/>
  </w:num>
  <w:num w:numId="21">
    <w:abstractNumId w:val="19"/>
  </w:num>
  <w:num w:numId="22">
    <w:abstractNumId w:val="6"/>
  </w:num>
  <w:num w:numId="23">
    <w:abstractNumId w:val="9"/>
  </w:num>
  <w:num w:numId="24">
    <w:abstractNumId w:val="0"/>
  </w:num>
  <w:num w:numId="25">
    <w:abstractNumId w:val="15"/>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566"/>
    <w:rsid w:val="00000F6D"/>
    <w:rsid w:val="000104DB"/>
    <w:rsid w:val="00012D30"/>
    <w:rsid w:val="000223E7"/>
    <w:rsid w:val="00032A61"/>
    <w:rsid w:val="000441AD"/>
    <w:rsid w:val="0004772E"/>
    <w:rsid w:val="00062477"/>
    <w:rsid w:val="00063E67"/>
    <w:rsid w:val="00072882"/>
    <w:rsid w:val="00074212"/>
    <w:rsid w:val="00075585"/>
    <w:rsid w:val="0007756E"/>
    <w:rsid w:val="0008016C"/>
    <w:rsid w:val="00091424"/>
    <w:rsid w:val="000943BE"/>
    <w:rsid w:val="000961C6"/>
    <w:rsid w:val="000A41E4"/>
    <w:rsid w:val="000B169A"/>
    <w:rsid w:val="000B25A3"/>
    <w:rsid w:val="000C43D7"/>
    <w:rsid w:val="000C64D6"/>
    <w:rsid w:val="000C769E"/>
    <w:rsid w:val="00113625"/>
    <w:rsid w:val="0012202C"/>
    <w:rsid w:val="0012501C"/>
    <w:rsid w:val="001305C2"/>
    <w:rsid w:val="0014521F"/>
    <w:rsid w:val="00153DB9"/>
    <w:rsid w:val="001604D9"/>
    <w:rsid w:val="00163CFF"/>
    <w:rsid w:val="00165AD9"/>
    <w:rsid w:val="00173987"/>
    <w:rsid w:val="00187AFF"/>
    <w:rsid w:val="001947BA"/>
    <w:rsid w:val="00196B89"/>
    <w:rsid w:val="001A6A08"/>
    <w:rsid w:val="001B55C1"/>
    <w:rsid w:val="001C0544"/>
    <w:rsid w:val="001C4F51"/>
    <w:rsid w:val="001D0E88"/>
    <w:rsid w:val="001D2679"/>
    <w:rsid w:val="001D33AA"/>
    <w:rsid w:val="001F0A6B"/>
    <w:rsid w:val="001F197D"/>
    <w:rsid w:val="001F2EDE"/>
    <w:rsid w:val="001F5778"/>
    <w:rsid w:val="00205B15"/>
    <w:rsid w:val="00210028"/>
    <w:rsid w:val="0021151D"/>
    <w:rsid w:val="0021226C"/>
    <w:rsid w:val="002269C8"/>
    <w:rsid w:val="002304FA"/>
    <w:rsid w:val="00230C0A"/>
    <w:rsid w:val="00231D09"/>
    <w:rsid w:val="002411DD"/>
    <w:rsid w:val="002421D1"/>
    <w:rsid w:val="00250403"/>
    <w:rsid w:val="0025639F"/>
    <w:rsid w:val="0025695E"/>
    <w:rsid w:val="00260F6E"/>
    <w:rsid w:val="002733C8"/>
    <w:rsid w:val="00273FD4"/>
    <w:rsid w:val="002741FA"/>
    <w:rsid w:val="002B7602"/>
    <w:rsid w:val="002C12D9"/>
    <w:rsid w:val="002D5AF9"/>
    <w:rsid w:val="002D5E98"/>
    <w:rsid w:val="002D610E"/>
    <w:rsid w:val="002F0AB3"/>
    <w:rsid w:val="003040B1"/>
    <w:rsid w:val="00304D9D"/>
    <w:rsid w:val="003169CC"/>
    <w:rsid w:val="00336E8F"/>
    <w:rsid w:val="0034029D"/>
    <w:rsid w:val="0034423C"/>
    <w:rsid w:val="003476A8"/>
    <w:rsid w:val="0035162E"/>
    <w:rsid w:val="00351B78"/>
    <w:rsid w:val="003522C1"/>
    <w:rsid w:val="00353360"/>
    <w:rsid w:val="003568A2"/>
    <w:rsid w:val="00357374"/>
    <w:rsid w:val="0036641E"/>
    <w:rsid w:val="003672EB"/>
    <w:rsid w:val="0037453A"/>
    <w:rsid w:val="00375712"/>
    <w:rsid w:val="00375E7F"/>
    <w:rsid w:val="003828AF"/>
    <w:rsid w:val="00384C42"/>
    <w:rsid w:val="00385CA4"/>
    <w:rsid w:val="003870B5"/>
    <w:rsid w:val="00390E32"/>
    <w:rsid w:val="0039337F"/>
    <w:rsid w:val="003B6095"/>
    <w:rsid w:val="003C65E6"/>
    <w:rsid w:val="003D3419"/>
    <w:rsid w:val="003D706C"/>
    <w:rsid w:val="003E2E66"/>
    <w:rsid w:val="003F11B2"/>
    <w:rsid w:val="003F2E90"/>
    <w:rsid w:val="00406074"/>
    <w:rsid w:val="004142AF"/>
    <w:rsid w:val="00423A56"/>
    <w:rsid w:val="00442C75"/>
    <w:rsid w:val="00452410"/>
    <w:rsid w:val="00455986"/>
    <w:rsid w:val="0045654D"/>
    <w:rsid w:val="00457C7C"/>
    <w:rsid w:val="00462284"/>
    <w:rsid w:val="00465A50"/>
    <w:rsid w:val="00465B47"/>
    <w:rsid w:val="004711C2"/>
    <w:rsid w:val="004759DE"/>
    <w:rsid w:val="0048168F"/>
    <w:rsid w:val="00485241"/>
    <w:rsid w:val="004937BB"/>
    <w:rsid w:val="00495574"/>
    <w:rsid w:val="004A22EC"/>
    <w:rsid w:val="004B1632"/>
    <w:rsid w:val="004B512A"/>
    <w:rsid w:val="004C3472"/>
    <w:rsid w:val="004C4D94"/>
    <w:rsid w:val="004D00E6"/>
    <w:rsid w:val="004E090C"/>
    <w:rsid w:val="004E4304"/>
    <w:rsid w:val="004F27BD"/>
    <w:rsid w:val="00501A64"/>
    <w:rsid w:val="00505078"/>
    <w:rsid w:val="00505AB4"/>
    <w:rsid w:val="005075A1"/>
    <w:rsid w:val="00512FDF"/>
    <w:rsid w:val="00522B70"/>
    <w:rsid w:val="005259C0"/>
    <w:rsid w:val="005276B1"/>
    <w:rsid w:val="005569BB"/>
    <w:rsid w:val="00565D1D"/>
    <w:rsid w:val="00566AD4"/>
    <w:rsid w:val="00571216"/>
    <w:rsid w:val="0057121F"/>
    <w:rsid w:val="0057169D"/>
    <w:rsid w:val="00573C1B"/>
    <w:rsid w:val="00584C9C"/>
    <w:rsid w:val="00590699"/>
    <w:rsid w:val="005940EE"/>
    <w:rsid w:val="00595A22"/>
    <w:rsid w:val="0059693E"/>
    <w:rsid w:val="005B0A41"/>
    <w:rsid w:val="005B7351"/>
    <w:rsid w:val="005C3E44"/>
    <w:rsid w:val="005C78E0"/>
    <w:rsid w:val="005C7E1A"/>
    <w:rsid w:val="005E7F7D"/>
    <w:rsid w:val="005F0773"/>
    <w:rsid w:val="005F1B94"/>
    <w:rsid w:val="006010F2"/>
    <w:rsid w:val="00611AE1"/>
    <w:rsid w:val="00612D2E"/>
    <w:rsid w:val="00621465"/>
    <w:rsid w:val="0062363F"/>
    <w:rsid w:val="00625A5C"/>
    <w:rsid w:val="0062781F"/>
    <w:rsid w:val="00632B25"/>
    <w:rsid w:val="006415BD"/>
    <w:rsid w:val="00644229"/>
    <w:rsid w:val="006474F1"/>
    <w:rsid w:val="00673BF2"/>
    <w:rsid w:val="00682992"/>
    <w:rsid w:val="00690DA5"/>
    <w:rsid w:val="00695FB9"/>
    <w:rsid w:val="006A3AA6"/>
    <w:rsid w:val="006A419E"/>
    <w:rsid w:val="006A52D4"/>
    <w:rsid w:val="006B2051"/>
    <w:rsid w:val="006B29CE"/>
    <w:rsid w:val="006B308D"/>
    <w:rsid w:val="006B53AF"/>
    <w:rsid w:val="006C20F1"/>
    <w:rsid w:val="006C545F"/>
    <w:rsid w:val="006D2AF4"/>
    <w:rsid w:val="006E1DA2"/>
    <w:rsid w:val="006E2DC7"/>
    <w:rsid w:val="006E4FAA"/>
    <w:rsid w:val="006F47A0"/>
    <w:rsid w:val="006F5C3D"/>
    <w:rsid w:val="00711985"/>
    <w:rsid w:val="00716515"/>
    <w:rsid w:val="00717B04"/>
    <w:rsid w:val="00721E24"/>
    <w:rsid w:val="0072237A"/>
    <w:rsid w:val="00727877"/>
    <w:rsid w:val="00735BB6"/>
    <w:rsid w:val="00744DA4"/>
    <w:rsid w:val="00760AE9"/>
    <w:rsid w:val="007640DD"/>
    <w:rsid w:val="00773CCE"/>
    <w:rsid w:val="00774CB9"/>
    <w:rsid w:val="00776E0F"/>
    <w:rsid w:val="0079134D"/>
    <w:rsid w:val="00791A58"/>
    <w:rsid w:val="0079591B"/>
    <w:rsid w:val="007A078B"/>
    <w:rsid w:val="007A0D6D"/>
    <w:rsid w:val="007A3EB9"/>
    <w:rsid w:val="007B1253"/>
    <w:rsid w:val="007D1F2F"/>
    <w:rsid w:val="007D60AF"/>
    <w:rsid w:val="007D7805"/>
    <w:rsid w:val="007E2713"/>
    <w:rsid w:val="007E30F6"/>
    <w:rsid w:val="007E34EE"/>
    <w:rsid w:val="007F5C12"/>
    <w:rsid w:val="00802CBF"/>
    <w:rsid w:val="008050BD"/>
    <w:rsid w:val="008136B8"/>
    <w:rsid w:val="00820B10"/>
    <w:rsid w:val="00824695"/>
    <w:rsid w:val="00830CE9"/>
    <w:rsid w:val="00836317"/>
    <w:rsid w:val="00850B6C"/>
    <w:rsid w:val="008571BF"/>
    <w:rsid w:val="00860026"/>
    <w:rsid w:val="008619F4"/>
    <w:rsid w:val="00875019"/>
    <w:rsid w:val="008809C4"/>
    <w:rsid w:val="00893A82"/>
    <w:rsid w:val="00894FA5"/>
    <w:rsid w:val="008A43E1"/>
    <w:rsid w:val="008A46D7"/>
    <w:rsid w:val="008B3071"/>
    <w:rsid w:val="008C568F"/>
    <w:rsid w:val="008D2F9E"/>
    <w:rsid w:val="008D3B76"/>
    <w:rsid w:val="008D5168"/>
    <w:rsid w:val="008D717D"/>
    <w:rsid w:val="008E585A"/>
    <w:rsid w:val="008F199F"/>
    <w:rsid w:val="008F3532"/>
    <w:rsid w:val="008F3C3D"/>
    <w:rsid w:val="008F4242"/>
    <w:rsid w:val="008F7352"/>
    <w:rsid w:val="00903AC9"/>
    <w:rsid w:val="00903C66"/>
    <w:rsid w:val="009117DC"/>
    <w:rsid w:val="00927F32"/>
    <w:rsid w:val="00943BC1"/>
    <w:rsid w:val="00955411"/>
    <w:rsid w:val="009656EC"/>
    <w:rsid w:val="00966F2C"/>
    <w:rsid w:val="0097001B"/>
    <w:rsid w:val="00975199"/>
    <w:rsid w:val="009951E4"/>
    <w:rsid w:val="00995442"/>
    <w:rsid w:val="009954D4"/>
    <w:rsid w:val="009A19C3"/>
    <w:rsid w:val="009A4062"/>
    <w:rsid w:val="009B18DF"/>
    <w:rsid w:val="009B4439"/>
    <w:rsid w:val="009B5890"/>
    <w:rsid w:val="009C00EF"/>
    <w:rsid w:val="009C1070"/>
    <w:rsid w:val="009C1ED1"/>
    <w:rsid w:val="009D12B5"/>
    <w:rsid w:val="009D245C"/>
    <w:rsid w:val="009D2CE8"/>
    <w:rsid w:val="009D3B86"/>
    <w:rsid w:val="009E4E1A"/>
    <w:rsid w:val="009F1788"/>
    <w:rsid w:val="009F480C"/>
    <w:rsid w:val="009F552D"/>
    <w:rsid w:val="009F6C6C"/>
    <w:rsid w:val="00A1163E"/>
    <w:rsid w:val="00A13E79"/>
    <w:rsid w:val="00A231E2"/>
    <w:rsid w:val="00A35E17"/>
    <w:rsid w:val="00A37F53"/>
    <w:rsid w:val="00A42CFE"/>
    <w:rsid w:val="00A46EF8"/>
    <w:rsid w:val="00A72008"/>
    <w:rsid w:val="00A75890"/>
    <w:rsid w:val="00A81D27"/>
    <w:rsid w:val="00A8231B"/>
    <w:rsid w:val="00A833C1"/>
    <w:rsid w:val="00A91CA0"/>
    <w:rsid w:val="00AC1566"/>
    <w:rsid w:val="00AC49D0"/>
    <w:rsid w:val="00AD082A"/>
    <w:rsid w:val="00AD3059"/>
    <w:rsid w:val="00AE4B73"/>
    <w:rsid w:val="00AF242A"/>
    <w:rsid w:val="00B06696"/>
    <w:rsid w:val="00B17F14"/>
    <w:rsid w:val="00B22862"/>
    <w:rsid w:val="00B3757F"/>
    <w:rsid w:val="00B5047D"/>
    <w:rsid w:val="00B50C49"/>
    <w:rsid w:val="00B5138A"/>
    <w:rsid w:val="00B53667"/>
    <w:rsid w:val="00B53BD8"/>
    <w:rsid w:val="00B621AF"/>
    <w:rsid w:val="00B711DD"/>
    <w:rsid w:val="00B729FD"/>
    <w:rsid w:val="00B82E68"/>
    <w:rsid w:val="00B85392"/>
    <w:rsid w:val="00B91FC0"/>
    <w:rsid w:val="00B92753"/>
    <w:rsid w:val="00B941FA"/>
    <w:rsid w:val="00B947E3"/>
    <w:rsid w:val="00BA38BA"/>
    <w:rsid w:val="00BB6C75"/>
    <w:rsid w:val="00BC021F"/>
    <w:rsid w:val="00BD67F9"/>
    <w:rsid w:val="00BE211D"/>
    <w:rsid w:val="00C1254D"/>
    <w:rsid w:val="00C133CA"/>
    <w:rsid w:val="00C17B81"/>
    <w:rsid w:val="00C2258F"/>
    <w:rsid w:val="00C25675"/>
    <w:rsid w:val="00C34CB6"/>
    <w:rsid w:val="00C45210"/>
    <w:rsid w:val="00C50D89"/>
    <w:rsid w:val="00C5352E"/>
    <w:rsid w:val="00C539B7"/>
    <w:rsid w:val="00C67154"/>
    <w:rsid w:val="00C8300C"/>
    <w:rsid w:val="00C86452"/>
    <w:rsid w:val="00C911BC"/>
    <w:rsid w:val="00C94A01"/>
    <w:rsid w:val="00CA0829"/>
    <w:rsid w:val="00CB00A1"/>
    <w:rsid w:val="00CB3554"/>
    <w:rsid w:val="00CC2596"/>
    <w:rsid w:val="00CD1192"/>
    <w:rsid w:val="00CD2A82"/>
    <w:rsid w:val="00CD47CD"/>
    <w:rsid w:val="00CD6220"/>
    <w:rsid w:val="00CF2D69"/>
    <w:rsid w:val="00CF2E45"/>
    <w:rsid w:val="00CF375E"/>
    <w:rsid w:val="00CF4522"/>
    <w:rsid w:val="00CF55E8"/>
    <w:rsid w:val="00CF76D4"/>
    <w:rsid w:val="00CF7F2B"/>
    <w:rsid w:val="00D11713"/>
    <w:rsid w:val="00D20C39"/>
    <w:rsid w:val="00D2551F"/>
    <w:rsid w:val="00D50E78"/>
    <w:rsid w:val="00D52A30"/>
    <w:rsid w:val="00D566D9"/>
    <w:rsid w:val="00D5775C"/>
    <w:rsid w:val="00D61AEF"/>
    <w:rsid w:val="00D81B20"/>
    <w:rsid w:val="00D84772"/>
    <w:rsid w:val="00D90B61"/>
    <w:rsid w:val="00D926C8"/>
    <w:rsid w:val="00DA5134"/>
    <w:rsid w:val="00DB036A"/>
    <w:rsid w:val="00DB15C2"/>
    <w:rsid w:val="00DC0EAF"/>
    <w:rsid w:val="00DC4FBB"/>
    <w:rsid w:val="00DD097A"/>
    <w:rsid w:val="00DD21BA"/>
    <w:rsid w:val="00DE0997"/>
    <w:rsid w:val="00DE1FB5"/>
    <w:rsid w:val="00DE3542"/>
    <w:rsid w:val="00DE5A90"/>
    <w:rsid w:val="00DF1B4D"/>
    <w:rsid w:val="00DF25D1"/>
    <w:rsid w:val="00DF6C30"/>
    <w:rsid w:val="00E02820"/>
    <w:rsid w:val="00E0781A"/>
    <w:rsid w:val="00E12A01"/>
    <w:rsid w:val="00E144D0"/>
    <w:rsid w:val="00E16BB5"/>
    <w:rsid w:val="00E21FB5"/>
    <w:rsid w:val="00E3170B"/>
    <w:rsid w:val="00E37C06"/>
    <w:rsid w:val="00E42E1B"/>
    <w:rsid w:val="00E512BC"/>
    <w:rsid w:val="00E5438C"/>
    <w:rsid w:val="00E56FAD"/>
    <w:rsid w:val="00E57500"/>
    <w:rsid w:val="00E61520"/>
    <w:rsid w:val="00E618D9"/>
    <w:rsid w:val="00E6633A"/>
    <w:rsid w:val="00E74387"/>
    <w:rsid w:val="00E77AB0"/>
    <w:rsid w:val="00E8071D"/>
    <w:rsid w:val="00E810D8"/>
    <w:rsid w:val="00EA0E3C"/>
    <w:rsid w:val="00EA1EEF"/>
    <w:rsid w:val="00EA29E3"/>
    <w:rsid w:val="00EA6D69"/>
    <w:rsid w:val="00EB5271"/>
    <w:rsid w:val="00EB5442"/>
    <w:rsid w:val="00EB69AE"/>
    <w:rsid w:val="00EC0AF7"/>
    <w:rsid w:val="00EC32D9"/>
    <w:rsid w:val="00EC7E16"/>
    <w:rsid w:val="00EF0FEE"/>
    <w:rsid w:val="00EF19AC"/>
    <w:rsid w:val="00EF3719"/>
    <w:rsid w:val="00EF42B2"/>
    <w:rsid w:val="00EF561B"/>
    <w:rsid w:val="00F066C2"/>
    <w:rsid w:val="00F20DB5"/>
    <w:rsid w:val="00F41FEF"/>
    <w:rsid w:val="00F60735"/>
    <w:rsid w:val="00F6114F"/>
    <w:rsid w:val="00F6188C"/>
    <w:rsid w:val="00F65743"/>
    <w:rsid w:val="00F67D25"/>
    <w:rsid w:val="00F75636"/>
    <w:rsid w:val="00F85AFF"/>
    <w:rsid w:val="00F947AF"/>
    <w:rsid w:val="00F950B5"/>
    <w:rsid w:val="00F95A45"/>
    <w:rsid w:val="00FA3B04"/>
    <w:rsid w:val="00FA6033"/>
    <w:rsid w:val="00FA7BD4"/>
    <w:rsid w:val="00FC3DF0"/>
    <w:rsid w:val="00FC44F1"/>
    <w:rsid w:val="00FC5938"/>
    <w:rsid w:val="00FD01D1"/>
    <w:rsid w:val="00FD1B02"/>
    <w:rsid w:val="00FD3944"/>
    <w:rsid w:val="00FD5EE6"/>
    <w:rsid w:val="00FD7545"/>
    <w:rsid w:val="00FE5182"/>
    <w:rsid w:val="00FF01B1"/>
    <w:rsid w:val="00FF023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7D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566"/>
  </w:style>
  <w:style w:type="paragraph" w:styleId="Ttulo3">
    <w:name w:val="heading 3"/>
    <w:basedOn w:val="Normal"/>
    <w:link w:val="Ttulo3Car"/>
    <w:uiPriority w:val="9"/>
    <w:qFormat/>
    <w:rsid w:val="0048168F"/>
    <w:pPr>
      <w:spacing w:before="100" w:beforeAutospacing="1" w:after="100" w:afterAutospacing="1" w:line="240" w:lineRule="auto"/>
      <w:outlineLvl w:val="2"/>
    </w:pPr>
    <w:rPr>
      <w:rFonts w:ascii="Times New Roman" w:hAnsi="Times New Roman" w:cs="Times New Roman"/>
      <w:b/>
      <w:bCs/>
      <w:sz w:val="27"/>
      <w:szCs w:val="27"/>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C15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1566"/>
  </w:style>
  <w:style w:type="paragraph" w:styleId="Encabezado">
    <w:name w:val="header"/>
    <w:basedOn w:val="Normal"/>
    <w:link w:val="EncabezadoCar"/>
    <w:uiPriority w:val="99"/>
    <w:unhideWhenUsed/>
    <w:rsid w:val="00AC15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1566"/>
  </w:style>
  <w:style w:type="paragraph" w:styleId="Textonotapie">
    <w:name w:val="footnote text"/>
    <w:basedOn w:val="Normal"/>
    <w:link w:val="TextonotapieCar"/>
    <w:uiPriority w:val="99"/>
    <w:unhideWhenUsed/>
    <w:rsid w:val="00AC1566"/>
    <w:pPr>
      <w:spacing w:after="0" w:line="240" w:lineRule="auto"/>
    </w:pPr>
    <w:rPr>
      <w:sz w:val="20"/>
      <w:szCs w:val="20"/>
    </w:rPr>
  </w:style>
  <w:style w:type="character" w:customStyle="1" w:styleId="TextonotapieCar">
    <w:name w:val="Texto nota pie Car"/>
    <w:basedOn w:val="Fuentedeprrafopredeter"/>
    <w:link w:val="Textonotapie"/>
    <w:uiPriority w:val="99"/>
    <w:rsid w:val="00AC1566"/>
    <w:rPr>
      <w:sz w:val="20"/>
      <w:szCs w:val="20"/>
    </w:rPr>
  </w:style>
  <w:style w:type="character" w:styleId="Refdenotaalpie">
    <w:name w:val="footnote reference"/>
    <w:basedOn w:val="Fuentedeprrafopredeter"/>
    <w:uiPriority w:val="99"/>
    <w:unhideWhenUsed/>
    <w:rsid w:val="00AC1566"/>
    <w:rPr>
      <w:vertAlign w:val="superscript"/>
    </w:rPr>
  </w:style>
  <w:style w:type="paragraph" w:styleId="Prrafodelista">
    <w:name w:val="List Paragraph"/>
    <w:basedOn w:val="Normal"/>
    <w:uiPriority w:val="34"/>
    <w:qFormat/>
    <w:rsid w:val="00AC1566"/>
    <w:pPr>
      <w:ind w:left="720"/>
      <w:contextualSpacing/>
    </w:pPr>
  </w:style>
  <w:style w:type="paragraph" w:styleId="Textodeglobo">
    <w:name w:val="Balloon Text"/>
    <w:basedOn w:val="Normal"/>
    <w:link w:val="TextodegloboCar"/>
    <w:uiPriority w:val="99"/>
    <w:semiHidden/>
    <w:unhideWhenUsed/>
    <w:rsid w:val="00AC15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1566"/>
    <w:rPr>
      <w:rFonts w:ascii="Tahoma" w:hAnsi="Tahoma" w:cs="Tahoma"/>
      <w:sz w:val="16"/>
      <w:szCs w:val="16"/>
    </w:rPr>
  </w:style>
  <w:style w:type="character" w:customStyle="1" w:styleId="Ttulo3Car">
    <w:name w:val="Título 3 Car"/>
    <w:basedOn w:val="Fuentedeprrafopredeter"/>
    <w:link w:val="Ttulo3"/>
    <w:uiPriority w:val="9"/>
    <w:rsid w:val="0048168F"/>
    <w:rPr>
      <w:rFonts w:ascii="Times New Roman" w:hAnsi="Times New Roman" w:cs="Times New Roman"/>
      <w:b/>
      <w:bCs/>
      <w:sz w:val="27"/>
      <w:szCs w:val="27"/>
      <w:lang w:val="es-ES_tradnl" w:eastAsia="es-ES_tradnl"/>
    </w:rPr>
  </w:style>
  <w:style w:type="character" w:styleId="Hipervnculo">
    <w:name w:val="Hyperlink"/>
    <w:basedOn w:val="Fuentedeprrafopredeter"/>
    <w:uiPriority w:val="99"/>
    <w:unhideWhenUsed/>
    <w:rsid w:val="00DE5A90"/>
    <w:rPr>
      <w:color w:val="0000FF" w:themeColor="hyperlink"/>
      <w:u w:val="single"/>
    </w:rPr>
  </w:style>
  <w:style w:type="character" w:customStyle="1" w:styleId="UnresolvedMention">
    <w:name w:val="Unresolved Mention"/>
    <w:basedOn w:val="Fuentedeprrafopredeter"/>
    <w:uiPriority w:val="99"/>
    <w:semiHidden/>
    <w:unhideWhenUsed/>
    <w:rsid w:val="002D5E9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566"/>
  </w:style>
  <w:style w:type="paragraph" w:styleId="Ttulo3">
    <w:name w:val="heading 3"/>
    <w:basedOn w:val="Normal"/>
    <w:link w:val="Ttulo3Car"/>
    <w:uiPriority w:val="9"/>
    <w:qFormat/>
    <w:rsid w:val="0048168F"/>
    <w:pPr>
      <w:spacing w:before="100" w:beforeAutospacing="1" w:after="100" w:afterAutospacing="1" w:line="240" w:lineRule="auto"/>
      <w:outlineLvl w:val="2"/>
    </w:pPr>
    <w:rPr>
      <w:rFonts w:ascii="Times New Roman" w:hAnsi="Times New Roman" w:cs="Times New Roman"/>
      <w:b/>
      <w:bCs/>
      <w:sz w:val="27"/>
      <w:szCs w:val="27"/>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C15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1566"/>
  </w:style>
  <w:style w:type="paragraph" w:styleId="Encabezado">
    <w:name w:val="header"/>
    <w:basedOn w:val="Normal"/>
    <w:link w:val="EncabezadoCar"/>
    <w:uiPriority w:val="99"/>
    <w:unhideWhenUsed/>
    <w:rsid w:val="00AC15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1566"/>
  </w:style>
  <w:style w:type="paragraph" w:styleId="Textonotapie">
    <w:name w:val="footnote text"/>
    <w:basedOn w:val="Normal"/>
    <w:link w:val="TextonotapieCar"/>
    <w:uiPriority w:val="99"/>
    <w:unhideWhenUsed/>
    <w:rsid w:val="00AC1566"/>
    <w:pPr>
      <w:spacing w:after="0" w:line="240" w:lineRule="auto"/>
    </w:pPr>
    <w:rPr>
      <w:sz w:val="20"/>
      <w:szCs w:val="20"/>
    </w:rPr>
  </w:style>
  <w:style w:type="character" w:customStyle="1" w:styleId="TextonotapieCar">
    <w:name w:val="Texto nota pie Car"/>
    <w:basedOn w:val="Fuentedeprrafopredeter"/>
    <w:link w:val="Textonotapie"/>
    <w:uiPriority w:val="99"/>
    <w:rsid w:val="00AC1566"/>
    <w:rPr>
      <w:sz w:val="20"/>
      <w:szCs w:val="20"/>
    </w:rPr>
  </w:style>
  <w:style w:type="character" w:styleId="Refdenotaalpie">
    <w:name w:val="footnote reference"/>
    <w:basedOn w:val="Fuentedeprrafopredeter"/>
    <w:uiPriority w:val="99"/>
    <w:unhideWhenUsed/>
    <w:rsid w:val="00AC1566"/>
    <w:rPr>
      <w:vertAlign w:val="superscript"/>
    </w:rPr>
  </w:style>
  <w:style w:type="paragraph" w:styleId="Prrafodelista">
    <w:name w:val="List Paragraph"/>
    <w:basedOn w:val="Normal"/>
    <w:uiPriority w:val="34"/>
    <w:qFormat/>
    <w:rsid w:val="00AC1566"/>
    <w:pPr>
      <w:ind w:left="720"/>
      <w:contextualSpacing/>
    </w:pPr>
  </w:style>
  <w:style w:type="paragraph" w:styleId="Textodeglobo">
    <w:name w:val="Balloon Text"/>
    <w:basedOn w:val="Normal"/>
    <w:link w:val="TextodegloboCar"/>
    <w:uiPriority w:val="99"/>
    <w:semiHidden/>
    <w:unhideWhenUsed/>
    <w:rsid w:val="00AC15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1566"/>
    <w:rPr>
      <w:rFonts w:ascii="Tahoma" w:hAnsi="Tahoma" w:cs="Tahoma"/>
      <w:sz w:val="16"/>
      <w:szCs w:val="16"/>
    </w:rPr>
  </w:style>
  <w:style w:type="character" w:customStyle="1" w:styleId="Ttulo3Car">
    <w:name w:val="Título 3 Car"/>
    <w:basedOn w:val="Fuentedeprrafopredeter"/>
    <w:link w:val="Ttulo3"/>
    <w:uiPriority w:val="9"/>
    <w:rsid w:val="0048168F"/>
    <w:rPr>
      <w:rFonts w:ascii="Times New Roman" w:hAnsi="Times New Roman" w:cs="Times New Roman"/>
      <w:b/>
      <w:bCs/>
      <w:sz w:val="27"/>
      <w:szCs w:val="27"/>
      <w:lang w:val="es-ES_tradnl" w:eastAsia="es-ES_tradnl"/>
    </w:rPr>
  </w:style>
  <w:style w:type="character" w:styleId="Hipervnculo">
    <w:name w:val="Hyperlink"/>
    <w:basedOn w:val="Fuentedeprrafopredeter"/>
    <w:uiPriority w:val="99"/>
    <w:unhideWhenUsed/>
    <w:rsid w:val="00DE5A90"/>
    <w:rPr>
      <w:color w:val="0000FF" w:themeColor="hyperlink"/>
      <w:u w:val="single"/>
    </w:rPr>
  </w:style>
  <w:style w:type="character" w:customStyle="1" w:styleId="UnresolvedMention">
    <w:name w:val="Unresolved Mention"/>
    <w:basedOn w:val="Fuentedeprrafopredeter"/>
    <w:uiPriority w:val="99"/>
    <w:semiHidden/>
    <w:unhideWhenUsed/>
    <w:rsid w:val="002D5E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71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emol.com/noticias/Internacional/2018/04/21/903375/Experto-chileno-y-uso-de-armas-quimicas-Se-creia-que-este-era-un-tema-relativamente-superado.html" TargetMode="External"/><Relationship Id="rId2" Type="http://schemas.openxmlformats.org/officeDocument/2006/relationships/hyperlink" Target="https://www.camara.cl/pdf.aspx?prmID=144411&amp;prmTIPO=DOCUMENTOCOMISION" TargetMode="External"/><Relationship Id="rId1" Type="http://schemas.openxmlformats.org/officeDocument/2006/relationships/hyperlink" Target="http://www.senado.cl/appsenado/templates/tramitacion/index.php?boletin_ini=11919-0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2101A-20A2-44DF-9DD7-CAA230128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2383</Words>
  <Characters>13112</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efarias</dc:creator>
  <cp:lastModifiedBy>Magdalena Moncada</cp:lastModifiedBy>
  <cp:revision>2</cp:revision>
  <cp:lastPrinted>2016-06-07T22:04:00Z</cp:lastPrinted>
  <dcterms:created xsi:type="dcterms:W3CDTF">2018-11-30T20:06:00Z</dcterms:created>
  <dcterms:modified xsi:type="dcterms:W3CDTF">2018-11-30T20:06:00Z</dcterms:modified>
</cp:coreProperties>
</file>