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D480C6" w14:textId="3AA2C740" w:rsidR="007F60C4" w:rsidRPr="007F60C4" w:rsidRDefault="00B436FE" w:rsidP="00A47A41">
      <w:pPr>
        <w:pBdr>
          <w:top w:val="single" w:sz="4" w:space="1" w:color="FFFFFF"/>
          <w:left w:val="single" w:sz="4" w:space="4" w:color="FFFFFF"/>
          <w:bottom w:val="single" w:sz="4" w:space="1" w:color="FFFFFF"/>
          <w:right w:val="single" w:sz="4" w:space="4" w:color="FFFFFF"/>
        </w:pBdr>
        <w:spacing w:after="0" w:line="360" w:lineRule="auto"/>
        <w:jc w:val="both"/>
        <w:rPr>
          <w:rFonts w:ascii="Times New Roman" w:eastAsia="Times New Roman" w:hAnsi="Times New Roman" w:cs="Times New Roman"/>
          <w:b/>
          <w:smallCaps/>
          <w:color w:val="587993"/>
          <w:sz w:val="28"/>
          <w:szCs w:val="28"/>
          <w:lang w:val="es-MX" w:eastAsia="es-MX"/>
        </w:rPr>
      </w:pPr>
      <w:r>
        <w:rPr>
          <w:rFonts w:ascii="Times New Roman" w:eastAsia="Times New Roman" w:hAnsi="Times New Roman" w:cs="Times New Roman"/>
          <w:b/>
          <w:smallCaps/>
          <w:noProof/>
          <w:color w:val="587993"/>
          <w:sz w:val="28"/>
          <w:szCs w:val="28"/>
          <w:lang w:val="es-CL" w:eastAsia="es-CL"/>
        </w:rPr>
        <mc:AlternateContent>
          <mc:Choice Requires="wps">
            <w:drawing>
              <wp:anchor distT="0" distB="0" distL="114300" distR="114300" simplePos="0" relativeHeight="251661312" behindDoc="0" locked="0" layoutInCell="1" allowOverlap="1" wp14:anchorId="68BBDAF7" wp14:editId="44C452A1">
                <wp:simplePos x="0" y="0"/>
                <wp:positionH relativeFrom="column">
                  <wp:posOffset>-47625</wp:posOffset>
                </wp:positionH>
                <wp:positionV relativeFrom="paragraph">
                  <wp:posOffset>-215265</wp:posOffset>
                </wp:positionV>
                <wp:extent cx="5699760" cy="115252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152525"/>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7FF8FC" w14:textId="14A18DAF" w:rsidR="00962DD4" w:rsidRDefault="00962DD4" w:rsidP="007F60C4">
                            <w:pPr>
                              <w:jc w:val="center"/>
                              <w:rPr>
                                <w:rFonts w:ascii="Calibri" w:hAnsi="Calibri"/>
                                <w:b/>
                                <w:color w:val="365F91"/>
                                <w:sz w:val="28"/>
                                <w:szCs w:val="28"/>
                              </w:rPr>
                            </w:pPr>
                            <w:r>
                              <w:rPr>
                                <w:rFonts w:ascii="Calibri" w:hAnsi="Calibri"/>
                                <w:b/>
                                <w:color w:val="365F91"/>
                                <w:sz w:val="28"/>
                                <w:szCs w:val="28"/>
                              </w:rPr>
                              <w:t xml:space="preserve">Proyecto de ley que </w:t>
                            </w:r>
                            <w:r w:rsidR="003E59F9" w:rsidRPr="003E59F9">
                              <w:rPr>
                                <w:rFonts w:ascii="Calibri" w:hAnsi="Calibri"/>
                                <w:b/>
                                <w:color w:val="365F91"/>
                                <w:sz w:val="28"/>
                                <w:szCs w:val="28"/>
                              </w:rPr>
                              <w:t>sanciona conductas que afectan la convivencia ciudadana y aumentan la sensación de inseguridad en la población</w:t>
                            </w:r>
                          </w:p>
                          <w:p w14:paraId="717F9F21" w14:textId="006836E1" w:rsidR="007F60C4" w:rsidRPr="00C32E11" w:rsidRDefault="00962DD4" w:rsidP="007F60C4">
                            <w:pPr>
                              <w:jc w:val="center"/>
                              <w:rPr>
                                <w:rFonts w:ascii="Calibri" w:hAnsi="Calibri"/>
                                <w:b/>
                                <w:color w:val="365F91"/>
                                <w:sz w:val="28"/>
                                <w:szCs w:val="28"/>
                              </w:rPr>
                            </w:pPr>
                            <w:r>
                              <w:rPr>
                                <w:rFonts w:ascii="Calibri" w:hAnsi="Calibri"/>
                                <w:b/>
                                <w:color w:val="365F91"/>
                                <w:sz w:val="28"/>
                                <w:szCs w:val="28"/>
                              </w:rPr>
                              <w:t>Boletín N°1</w:t>
                            </w:r>
                            <w:r w:rsidR="00B436FE">
                              <w:rPr>
                                <w:rFonts w:ascii="Calibri" w:hAnsi="Calibri"/>
                                <w:b/>
                                <w:color w:val="365F91"/>
                                <w:sz w:val="28"/>
                                <w:szCs w:val="28"/>
                              </w:rPr>
                              <w:t>1</w:t>
                            </w:r>
                            <w:r>
                              <w:rPr>
                                <w:rFonts w:ascii="Calibri" w:hAnsi="Calibri"/>
                                <w:b/>
                                <w:color w:val="365F91"/>
                                <w:sz w:val="28"/>
                                <w:szCs w:val="28"/>
                              </w:rPr>
                              <w:t>.</w:t>
                            </w:r>
                            <w:r w:rsidR="003E59F9">
                              <w:rPr>
                                <w:rFonts w:ascii="Calibri" w:hAnsi="Calibri"/>
                                <w:b/>
                                <w:color w:val="365F91"/>
                                <w:sz w:val="28"/>
                                <w:szCs w:val="28"/>
                              </w:rPr>
                              <w:t>913</w:t>
                            </w:r>
                            <w:r w:rsidR="00220E51">
                              <w:rPr>
                                <w:rFonts w:ascii="Calibri" w:hAnsi="Calibri"/>
                                <w:b/>
                                <w:color w:val="365F91"/>
                                <w:sz w:val="28"/>
                                <w:szCs w:val="28"/>
                              </w:rPr>
                              <w:t>-25</w:t>
                            </w:r>
                          </w:p>
                          <w:p w14:paraId="4808AF0C" w14:textId="77777777" w:rsidR="007F60C4" w:rsidRPr="00D7245B" w:rsidRDefault="007F60C4" w:rsidP="007F60C4">
                            <w:pPr>
                              <w:widowControl w:val="0"/>
                              <w:tabs>
                                <w:tab w:val="left" w:pos="0"/>
                              </w:tabs>
                              <w:autoSpaceDE w:val="0"/>
                              <w:autoSpaceDN w:val="0"/>
                              <w:adjustRightInd w:val="0"/>
                              <w:jc w:val="center"/>
                              <w:rPr>
                                <w:rFonts w:ascii="Times New Roman" w:hAnsi="Times New Roman"/>
                                <w:bCs/>
                                <w:smallCaps/>
                                <w:color w:val="58799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BBDAF7" id="_x0000_t202" coordsize="21600,21600" o:spt="202" path="m,l,21600r21600,l21600,xe">
                <v:stroke joinstyle="miter"/>
                <v:path gradientshapeok="t" o:connecttype="rect"/>
              </v:shapetype>
              <v:shape id="Cuadro de texto 3" o:spid="_x0000_s1026" type="#_x0000_t202" style="position:absolute;left:0;text-align:left;margin-left:-3.75pt;margin-top:-16.95pt;width:448.8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" filled="f" strokecolor="#587993" strokeweight="1.5pt">
                <v:textbox>
                  <w:txbxContent>
                    <w:p w14:paraId="3D7FF8FC" w14:textId="14A18DAF" w:rsidR="00962DD4" w:rsidRDefault="00962DD4" w:rsidP="007F60C4">
                      <w:pPr>
                        <w:jc w:val="center"/>
                        <w:rPr>
                          <w:rFonts w:ascii="Calibri" w:hAnsi="Calibri"/>
                          <w:b/>
                          <w:color w:val="365F91"/>
                          <w:sz w:val="28"/>
                          <w:szCs w:val="28"/>
                        </w:rPr>
                      </w:pPr>
                      <w:r>
                        <w:rPr>
                          <w:rFonts w:ascii="Calibri" w:hAnsi="Calibri"/>
                          <w:b/>
                          <w:color w:val="365F91"/>
                          <w:sz w:val="28"/>
                          <w:szCs w:val="28"/>
                        </w:rPr>
                        <w:t xml:space="preserve">Proyecto de ley que </w:t>
                      </w:r>
                      <w:r w:rsidR="003E59F9" w:rsidRPr="003E59F9">
                        <w:rPr>
                          <w:rFonts w:ascii="Calibri" w:hAnsi="Calibri"/>
                          <w:b/>
                          <w:color w:val="365F91"/>
                          <w:sz w:val="28"/>
                          <w:szCs w:val="28"/>
                        </w:rPr>
                        <w:t>sanciona conductas que afectan la convivencia ciudadana y aumentan la sensación de inseguridad en la población</w:t>
                      </w:r>
                    </w:p>
                    <w:p w14:paraId="717F9F21" w14:textId="006836E1" w:rsidR="007F60C4" w:rsidRPr="00C32E11" w:rsidRDefault="00962DD4" w:rsidP="007F60C4">
                      <w:pPr>
                        <w:jc w:val="center"/>
                        <w:rPr>
                          <w:rFonts w:ascii="Calibri" w:hAnsi="Calibri"/>
                          <w:b/>
                          <w:color w:val="365F91"/>
                          <w:sz w:val="28"/>
                          <w:szCs w:val="28"/>
                        </w:rPr>
                      </w:pPr>
                      <w:r>
                        <w:rPr>
                          <w:rFonts w:ascii="Calibri" w:hAnsi="Calibri"/>
                          <w:b/>
                          <w:color w:val="365F91"/>
                          <w:sz w:val="28"/>
                          <w:szCs w:val="28"/>
                        </w:rPr>
                        <w:t>Boletín N°1</w:t>
                      </w:r>
                      <w:r w:rsidR="00B436FE">
                        <w:rPr>
                          <w:rFonts w:ascii="Calibri" w:hAnsi="Calibri"/>
                          <w:b/>
                          <w:color w:val="365F91"/>
                          <w:sz w:val="28"/>
                          <w:szCs w:val="28"/>
                        </w:rPr>
                        <w:t>1</w:t>
                      </w:r>
                      <w:bookmarkStart w:id="1" w:name="_GoBack"/>
                      <w:bookmarkEnd w:id="1"/>
                      <w:r>
                        <w:rPr>
                          <w:rFonts w:ascii="Calibri" w:hAnsi="Calibri"/>
                          <w:b/>
                          <w:color w:val="365F91"/>
                          <w:sz w:val="28"/>
                          <w:szCs w:val="28"/>
                        </w:rPr>
                        <w:t>.</w:t>
                      </w:r>
                      <w:r w:rsidR="003E59F9">
                        <w:rPr>
                          <w:rFonts w:ascii="Calibri" w:hAnsi="Calibri"/>
                          <w:b/>
                          <w:color w:val="365F91"/>
                          <w:sz w:val="28"/>
                          <w:szCs w:val="28"/>
                        </w:rPr>
                        <w:t>913</w:t>
                      </w:r>
                      <w:r w:rsidR="00220E51">
                        <w:rPr>
                          <w:rFonts w:ascii="Calibri" w:hAnsi="Calibri"/>
                          <w:b/>
                          <w:color w:val="365F91"/>
                          <w:sz w:val="28"/>
                          <w:szCs w:val="28"/>
                        </w:rPr>
                        <w:t>-25</w:t>
                      </w:r>
                    </w:p>
                    <w:p w14:paraId="4808AF0C" w14:textId="77777777" w:rsidR="007F60C4" w:rsidRPr="00D7245B" w:rsidRDefault="007F60C4" w:rsidP="007F60C4">
                      <w:pPr>
                        <w:widowControl w:val="0"/>
                        <w:tabs>
                          <w:tab w:val="left" w:pos="0"/>
                        </w:tabs>
                        <w:autoSpaceDE w:val="0"/>
                        <w:autoSpaceDN w:val="0"/>
                        <w:adjustRightInd w:val="0"/>
                        <w:jc w:val="center"/>
                        <w:rPr>
                          <w:rFonts w:ascii="Times New Roman" w:hAnsi="Times New Roman"/>
                          <w:bCs/>
                          <w:smallCaps/>
                          <w:color w:val="587993"/>
                        </w:rPr>
                      </w:pPr>
                    </w:p>
                  </w:txbxContent>
                </v:textbox>
              </v:shape>
            </w:pict>
          </mc:Fallback>
        </mc:AlternateContent>
      </w:r>
    </w:p>
    <w:p w14:paraId="165D22D8" w14:textId="77777777" w:rsidR="007F60C4" w:rsidRPr="007F60C4" w:rsidRDefault="007F60C4" w:rsidP="00A47A41">
      <w:pPr>
        <w:pBdr>
          <w:top w:val="single" w:sz="4" w:space="1" w:color="FFFFFF"/>
          <w:left w:val="single" w:sz="4" w:space="4" w:color="FFFFFF"/>
          <w:bottom w:val="single" w:sz="4" w:space="1" w:color="FFFFFF"/>
          <w:right w:val="single" w:sz="4" w:space="4" w:color="FFFFFF"/>
        </w:pBdr>
        <w:spacing w:after="0" w:line="360" w:lineRule="auto"/>
        <w:jc w:val="both"/>
        <w:rPr>
          <w:rFonts w:ascii="Times New Roman" w:eastAsia="Times New Roman" w:hAnsi="Times New Roman" w:cs="Times New Roman"/>
          <w:b/>
          <w:smallCaps/>
          <w:color w:val="587993"/>
          <w:sz w:val="28"/>
          <w:szCs w:val="28"/>
          <w:lang w:val="es-MX" w:eastAsia="es-MX"/>
        </w:rPr>
      </w:pPr>
    </w:p>
    <w:p w14:paraId="0E0E7623" w14:textId="77777777" w:rsidR="007F60C4" w:rsidRPr="007F60C4" w:rsidRDefault="007F60C4" w:rsidP="00A47A41">
      <w:pPr>
        <w:pBdr>
          <w:top w:val="single" w:sz="4" w:space="1" w:color="FFFFFF"/>
          <w:left w:val="single" w:sz="4" w:space="4" w:color="FFFFFF"/>
          <w:bottom w:val="single" w:sz="4" w:space="1" w:color="FFFFFF"/>
          <w:right w:val="single" w:sz="4" w:space="4" w:color="FFFFFF"/>
        </w:pBdr>
        <w:spacing w:after="0" w:line="360" w:lineRule="auto"/>
        <w:jc w:val="both"/>
        <w:rPr>
          <w:rFonts w:ascii="Times New Roman" w:eastAsia="Times New Roman" w:hAnsi="Times New Roman" w:cs="Times New Roman"/>
          <w:sz w:val="24"/>
          <w:szCs w:val="24"/>
          <w:lang w:val="es-MX" w:eastAsia="es-MX"/>
        </w:rPr>
      </w:pPr>
    </w:p>
    <w:p w14:paraId="5BD6E2FF" w14:textId="77777777" w:rsidR="007F60C4" w:rsidRPr="007F60C4" w:rsidRDefault="007F60C4" w:rsidP="00A47A41">
      <w:pPr>
        <w:pBdr>
          <w:top w:val="single" w:sz="4" w:space="1" w:color="FFFFFF"/>
          <w:left w:val="single" w:sz="4" w:space="4" w:color="FFFFFF"/>
          <w:bottom w:val="single" w:sz="4" w:space="1" w:color="FFFFFF"/>
          <w:right w:val="single" w:sz="4" w:space="4" w:color="FFFFFF"/>
        </w:pBdr>
        <w:spacing w:after="0" w:line="360" w:lineRule="auto"/>
        <w:jc w:val="both"/>
        <w:rPr>
          <w:rFonts w:ascii="Times New Roman" w:eastAsia="Times New Roman" w:hAnsi="Times New Roman" w:cs="Times New Roman"/>
          <w:sz w:val="24"/>
          <w:szCs w:val="24"/>
          <w:lang w:val="es-MX" w:eastAsia="es-MX"/>
        </w:rPr>
      </w:pPr>
    </w:p>
    <w:tbl>
      <w:tblPr>
        <w:tblW w:w="5000" w:type="pct"/>
        <w:tblBorders>
          <w:insideH w:val="single" w:sz="18" w:space="0" w:color="FFFFFF"/>
          <w:insideV w:val="single" w:sz="18" w:space="0" w:color="FFFFFF"/>
        </w:tblBorders>
        <w:tblLook w:val="0000" w:firstRow="0" w:lastRow="0" w:firstColumn="0" w:lastColumn="0" w:noHBand="0" w:noVBand="0"/>
      </w:tblPr>
      <w:tblGrid>
        <w:gridCol w:w="3473"/>
        <w:gridCol w:w="5581"/>
      </w:tblGrid>
      <w:tr w:rsidR="007F60C4" w:rsidRPr="007F60C4" w14:paraId="143B3774" w14:textId="77777777" w:rsidTr="00723F05">
        <w:tc>
          <w:tcPr>
            <w:tcW w:w="1918" w:type="pct"/>
            <w:shd w:val="pct5" w:color="000000" w:fill="FFFFFF"/>
            <w:tcMar>
              <w:top w:w="57" w:type="dxa"/>
              <w:bottom w:w="28" w:type="dxa"/>
            </w:tcMar>
          </w:tcPr>
          <w:p w14:paraId="5DCF3903"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smallCaps/>
                <w:color w:val="587993"/>
                <w:sz w:val="24"/>
                <w:szCs w:val="24"/>
                <w:lang w:val="es-MX" w:eastAsia="es-MX"/>
              </w:rPr>
              <w:t>Objetivo</w:t>
            </w:r>
          </w:p>
        </w:tc>
        <w:tc>
          <w:tcPr>
            <w:tcW w:w="3082" w:type="pct"/>
            <w:shd w:val="pct5" w:color="000000" w:fill="FFFFFF"/>
            <w:tcMar>
              <w:top w:w="57" w:type="dxa"/>
            </w:tcMar>
          </w:tcPr>
          <w:p w14:paraId="71CB02E6" w14:textId="76A192B9" w:rsidR="007F60C4" w:rsidRPr="007F60C4" w:rsidRDefault="003E59F9" w:rsidP="00962DD4">
            <w:pPr>
              <w:spacing w:after="0" w:line="360" w:lineRule="auto"/>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Regula determinadas conductas en espacios públicos y sanciona actos de vandalismo que afecten el goce de la vecindad de las personas.</w:t>
            </w:r>
          </w:p>
        </w:tc>
      </w:tr>
      <w:tr w:rsidR="007F60C4" w:rsidRPr="007F60C4" w14:paraId="7E08FDB0" w14:textId="77777777" w:rsidTr="00723F05">
        <w:tc>
          <w:tcPr>
            <w:tcW w:w="1918" w:type="pct"/>
            <w:shd w:val="pct20" w:color="000000" w:fill="FFFFFF"/>
            <w:tcMar>
              <w:top w:w="57" w:type="dxa"/>
              <w:bottom w:w="28" w:type="dxa"/>
            </w:tcMar>
          </w:tcPr>
          <w:p w14:paraId="3ECB2765"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Tramitación</w:t>
            </w:r>
          </w:p>
        </w:tc>
        <w:tc>
          <w:tcPr>
            <w:tcW w:w="3082" w:type="pct"/>
            <w:shd w:val="pct20" w:color="000000" w:fill="FFFFFF"/>
            <w:tcMar>
              <w:top w:w="57" w:type="dxa"/>
            </w:tcMar>
          </w:tcPr>
          <w:p w14:paraId="12B327C2" w14:textId="04CAD77F" w:rsidR="007F60C4" w:rsidRPr="007F60C4" w:rsidRDefault="003E59F9"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Pr>
                <w:rFonts w:ascii="Times New Roman" w:eastAsia="Times New Roman" w:hAnsi="Times New Roman" w:cs="Times New Roman"/>
                <w:b/>
                <w:bCs/>
                <w:smallCaps/>
                <w:color w:val="587993"/>
                <w:sz w:val="24"/>
                <w:szCs w:val="24"/>
                <w:lang w:val="es-MX" w:eastAsia="es-MX"/>
              </w:rPr>
              <w:t>1° Trámite Constitucional.</w:t>
            </w:r>
          </w:p>
        </w:tc>
      </w:tr>
      <w:tr w:rsidR="007F60C4" w:rsidRPr="007F60C4" w14:paraId="0261D2D7" w14:textId="77777777" w:rsidTr="00723F05">
        <w:tc>
          <w:tcPr>
            <w:tcW w:w="1918" w:type="pct"/>
            <w:shd w:val="pct5" w:color="000000" w:fill="FFFFFF"/>
            <w:tcMar>
              <w:top w:w="57" w:type="dxa"/>
              <w:bottom w:w="28" w:type="dxa"/>
            </w:tcMar>
          </w:tcPr>
          <w:p w14:paraId="39F93C54"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Origen de la iniciativa</w:t>
            </w:r>
          </w:p>
        </w:tc>
        <w:tc>
          <w:tcPr>
            <w:tcW w:w="3082" w:type="pct"/>
            <w:shd w:val="pct5" w:color="000000" w:fill="FFFFFF"/>
            <w:tcMar>
              <w:top w:w="57" w:type="dxa"/>
            </w:tcMar>
          </w:tcPr>
          <w:p w14:paraId="298C31DE" w14:textId="1BBB4184" w:rsidR="007F60C4" w:rsidRPr="007F60C4" w:rsidRDefault="008614F3" w:rsidP="00A47A41">
            <w:pPr>
              <w:keepNext/>
              <w:spacing w:after="0" w:line="360" w:lineRule="auto"/>
              <w:jc w:val="both"/>
              <w:outlineLvl w:val="2"/>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M</w:t>
            </w:r>
            <w:r w:rsidR="003E59F9">
              <w:rPr>
                <w:rFonts w:ascii="Times New Roman" w:eastAsia="Times New Roman" w:hAnsi="Times New Roman" w:cs="Times New Roman"/>
                <w:bCs/>
                <w:sz w:val="24"/>
                <w:szCs w:val="24"/>
                <w:lang w:val="es-MX" w:eastAsia="es-MX"/>
              </w:rPr>
              <w:t>ensaje</w:t>
            </w:r>
          </w:p>
        </w:tc>
      </w:tr>
      <w:tr w:rsidR="007F60C4" w:rsidRPr="007F60C4" w14:paraId="19048169" w14:textId="77777777" w:rsidTr="00723F05">
        <w:tc>
          <w:tcPr>
            <w:tcW w:w="1918" w:type="pct"/>
            <w:shd w:val="pct20" w:color="000000" w:fill="FFFFFF"/>
            <w:tcMar>
              <w:top w:w="57" w:type="dxa"/>
              <w:bottom w:w="28" w:type="dxa"/>
            </w:tcMar>
          </w:tcPr>
          <w:p w14:paraId="7DE236A0"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Normas de Quórum especial</w:t>
            </w:r>
          </w:p>
        </w:tc>
        <w:tc>
          <w:tcPr>
            <w:tcW w:w="3082" w:type="pct"/>
            <w:shd w:val="pct20" w:color="000000" w:fill="FFFFFF"/>
            <w:tcMar>
              <w:top w:w="57" w:type="dxa"/>
            </w:tcMar>
          </w:tcPr>
          <w:p w14:paraId="6A56A4FE" w14:textId="75587D64" w:rsidR="007F60C4" w:rsidRPr="007F60C4" w:rsidRDefault="003E59F9" w:rsidP="00A47A41">
            <w:pPr>
              <w:spacing w:after="120" w:line="36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Artículo 2° N° 3, Ley Orgánica Constitucional.</w:t>
            </w:r>
          </w:p>
        </w:tc>
      </w:tr>
      <w:tr w:rsidR="007F60C4" w:rsidRPr="007F60C4" w14:paraId="34CF2317" w14:textId="77777777" w:rsidTr="00723F05">
        <w:tc>
          <w:tcPr>
            <w:tcW w:w="1918" w:type="pct"/>
            <w:shd w:val="pct5" w:color="000000" w:fill="FFFFFF"/>
            <w:tcMar>
              <w:top w:w="57" w:type="dxa"/>
              <w:bottom w:w="28" w:type="dxa"/>
            </w:tcMar>
          </w:tcPr>
          <w:p w14:paraId="5CE56A84"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Urgencia</w:t>
            </w:r>
          </w:p>
        </w:tc>
        <w:tc>
          <w:tcPr>
            <w:tcW w:w="3082" w:type="pct"/>
            <w:shd w:val="pct5" w:color="000000" w:fill="FFFFFF"/>
            <w:tcMar>
              <w:top w:w="57" w:type="dxa"/>
            </w:tcMar>
          </w:tcPr>
          <w:p w14:paraId="68342DD5" w14:textId="3B011D91" w:rsidR="007F60C4" w:rsidRPr="007F60C4" w:rsidRDefault="003E59F9" w:rsidP="00A47A41">
            <w:pPr>
              <w:keepNext/>
              <w:spacing w:after="0" w:line="360" w:lineRule="auto"/>
              <w:jc w:val="both"/>
              <w:outlineLvl w:val="2"/>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Suma</w:t>
            </w:r>
          </w:p>
        </w:tc>
      </w:tr>
      <w:tr w:rsidR="007F60C4" w:rsidRPr="007F60C4" w14:paraId="0C5CEFE1" w14:textId="77777777" w:rsidTr="00723F05">
        <w:tc>
          <w:tcPr>
            <w:tcW w:w="1918" w:type="pct"/>
            <w:shd w:val="pct20" w:color="000000" w:fill="FFFFFF"/>
            <w:tcMar>
              <w:top w:w="57" w:type="dxa"/>
              <w:bottom w:w="28" w:type="dxa"/>
            </w:tcMar>
          </w:tcPr>
          <w:p w14:paraId="0981F39D" w14:textId="77777777" w:rsidR="007F60C4" w:rsidRPr="007F60C4" w:rsidRDefault="007F60C4" w:rsidP="00A47A41">
            <w:pPr>
              <w:keepNext/>
              <w:spacing w:after="0" w:line="360" w:lineRule="auto"/>
              <w:jc w:val="both"/>
              <w:outlineLvl w:val="2"/>
              <w:rPr>
                <w:rFonts w:ascii="Times New Roman" w:eastAsia="Times New Roman" w:hAnsi="Times New Roman" w:cs="Times New Roman"/>
                <w:b/>
                <w:bCs/>
                <w:smallCaps/>
                <w:color w:val="587993"/>
                <w:sz w:val="24"/>
                <w:szCs w:val="24"/>
                <w:lang w:val="es-MX" w:eastAsia="es-MX"/>
              </w:rPr>
            </w:pPr>
            <w:r w:rsidRPr="007F60C4">
              <w:rPr>
                <w:rFonts w:ascii="Times New Roman" w:eastAsia="Times New Roman" w:hAnsi="Times New Roman" w:cs="Times New Roman"/>
                <w:b/>
                <w:bCs/>
                <w:smallCaps/>
                <w:color w:val="587993"/>
                <w:sz w:val="24"/>
                <w:szCs w:val="24"/>
                <w:lang w:val="es-MX" w:eastAsia="es-MX"/>
              </w:rPr>
              <w:t>Comisión</w:t>
            </w:r>
          </w:p>
        </w:tc>
        <w:tc>
          <w:tcPr>
            <w:tcW w:w="3082" w:type="pct"/>
            <w:shd w:val="pct20" w:color="000000" w:fill="FFFFFF"/>
            <w:tcMar>
              <w:top w:w="57" w:type="dxa"/>
            </w:tcMar>
          </w:tcPr>
          <w:p w14:paraId="596B81BC" w14:textId="15219510" w:rsidR="007F60C4" w:rsidRPr="007F60C4" w:rsidRDefault="003E59F9" w:rsidP="00A47A41">
            <w:pPr>
              <w:keepNext/>
              <w:spacing w:after="0" w:line="360" w:lineRule="auto"/>
              <w:jc w:val="both"/>
              <w:outlineLvl w:val="2"/>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Seguridad Pública</w:t>
            </w:r>
          </w:p>
        </w:tc>
      </w:tr>
    </w:tbl>
    <w:p w14:paraId="646B3166" w14:textId="54EA8213" w:rsidR="00103A10" w:rsidRPr="00491F56" w:rsidRDefault="00B436FE" w:rsidP="00491F56">
      <w:pPr>
        <w:pBdr>
          <w:top w:val="single" w:sz="4" w:space="1" w:color="FFFFFF"/>
          <w:left w:val="single" w:sz="4" w:space="4" w:color="FFFFFF"/>
          <w:bottom w:val="single" w:sz="4" w:space="31" w:color="FFFFFF"/>
          <w:right w:val="single" w:sz="4" w:space="4" w:color="FFFFFF"/>
        </w:pBdr>
        <w:spacing w:after="0" w:line="360" w:lineRule="auto"/>
        <w:jc w:val="both"/>
        <w:rPr>
          <w:rFonts w:ascii="Calibri" w:eastAsia="Times New Roman" w:hAnsi="Calibri" w:cs="Times New Roman"/>
          <w:color w:val="0000FF"/>
          <w:sz w:val="24"/>
          <w:szCs w:val="24"/>
          <w:lang w:val="es-MX" w:eastAsia="es-MX"/>
        </w:rPr>
      </w:pPr>
      <w:r>
        <w:rPr>
          <w:rFonts w:ascii="Times New Roman" w:eastAsia="Times New Roman" w:hAnsi="Times New Roman" w:cs="Times New Roman"/>
          <w:b/>
          <w:bCs/>
          <w:smallCaps/>
          <w:noProof/>
          <w:color w:val="FFFFFF"/>
          <w:spacing w:val="20"/>
          <w:sz w:val="28"/>
          <w:szCs w:val="28"/>
          <w:lang w:val="es-CL" w:eastAsia="es-CL"/>
        </w:rPr>
        <mc:AlternateContent>
          <mc:Choice Requires="wps">
            <w:drawing>
              <wp:anchor distT="0" distB="0" distL="114300" distR="114300" simplePos="0" relativeHeight="251659264" behindDoc="0" locked="0" layoutInCell="1" allowOverlap="1" wp14:anchorId="09CC1258" wp14:editId="50CC9E87">
                <wp:simplePos x="0" y="0"/>
                <wp:positionH relativeFrom="column">
                  <wp:posOffset>0</wp:posOffset>
                </wp:positionH>
                <wp:positionV relativeFrom="paragraph">
                  <wp:posOffset>276225</wp:posOffset>
                </wp:positionV>
                <wp:extent cx="5699760" cy="4133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13385"/>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3F22F" w14:textId="77777777" w:rsidR="007F60C4" w:rsidRPr="003C251A" w:rsidRDefault="007F60C4" w:rsidP="007F60C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Ideas C</w:t>
                            </w:r>
                            <w:r w:rsidRPr="003C251A">
                              <w:rPr>
                                <w:rFonts w:ascii="Times New Roman" w:hAnsi="Times New Roman"/>
                                <w:b/>
                                <w:bCs/>
                                <w:smallCaps/>
                                <w:color w:val="FFFFFF"/>
                                <w:spacing w:val="20"/>
                                <w:sz w:val="28"/>
                                <w:szCs w:val="28"/>
                              </w:rPr>
                              <w:t>entrales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C1258" id="Cuadro de texto 2" o:spid="_x0000_s1027" type="#_x0000_t202" style="position:absolute;left:0;text-align:left;margin-left:0;margin-top:21.75pt;width:448.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" fillcolor="#587993" stroked="f" strokecolor="teal" strokeweight="1.5pt">
                <v:textbox style="mso-fit-shape-to-text:t">
                  <w:txbxContent>
                    <w:p w14:paraId="2473F22F" w14:textId="77777777" w:rsidR="007F60C4" w:rsidRPr="003C251A" w:rsidRDefault="007F60C4" w:rsidP="007F60C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Ideas C</w:t>
                      </w:r>
                      <w:r w:rsidRPr="003C251A">
                        <w:rPr>
                          <w:rFonts w:ascii="Times New Roman" w:hAnsi="Times New Roman"/>
                          <w:b/>
                          <w:bCs/>
                          <w:smallCaps/>
                          <w:color w:val="FFFFFF"/>
                          <w:spacing w:val="20"/>
                          <w:sz w:val="28"/>
                          <w:szCs w:val="28"/>
                        </w:rPr>
                        <w:t>entrales</w:t>
                      </w:r>
                    </w:p>
                  </w:txbxContent>
                </v:textbox>
              </v:shape>
            </w:pict>
          </mc:Fallback>
        </mc:AlternateContent>
      </w:r>
    </w:p>
    <w:p w14:paraId="7F530BC3" w14:textId="77777777" w:rsidR="00491F56" w:rsidRDefault="00491F56" w:rsidP="00962DD4">
      <w:pPr>
        <w:spacing w:after="200" w:line="360" w:lineRule="auto"/>
        <w:jc w:val="both"/>
      </w:pPr>
    </w:p>
    <w:p w14:paraId="0C6761D9" w14:textId="6F33739D" w:rsidR="0054170B" w:rsidRPr="0054170B" w:rsidRDefault="0054170B" w:rsidP="0054170B">
      <w:pPr>
        <w:pStyle w:val="Prrafodelista"/>
        <w:numPr>
          <w:ilvl w:val="0"/>
          <w:numId w:val="11"/>
        </w:numPr>
        <w:spacing w:after="200" w:line="360" w:lineRule="auto"/>
        <w:jc w:val="both"/>
        <w:rPr>
          <w:b/>
        </w:rPr>
      </w:pPr>
      <w:r w:rsidRPr="0054170B">
        <w:rPr>
          <w:rFonts w:ascii="Calibri" w:eastAsia="Calibri" w:hAnsi="Calibri" w:cs="Calibri"/>
          <w:b/>
          <w:sz w:val="24"/>
          <w:szCs w:val="24"/>
          <w:lang w:val="es-CL"/>
        </w:rPr>
        <w:t>Origen y Tramitación.</w:t>
      </w:r>
    </w:p>
    <w:p w14:paraId="20BB17E0" w14:textId="77777777" w:rsidR="0054170B" w:rsidRPr="0054170B" w:rsidRDefault="0054170B" w:rsidP="0054170B">
      <w:pPr>
        <w:spacing w:after="200" w:line="360" w:lineRule="auto"/>
        <w:jc w:val="both"/>
      </w:pPr>
      <w:r w:rsidRPr="0054170B">
        <w:t xml:space="preserve">Proyecto de ley iniciado en Mensaje del Presidente de la República, presentado con fecha 13 de julio de 2018. </w:t>
      </w:r>
    </w:p>
    <w:p w14:paraId="23E73091" w14:textId="3A0D0665" w:rsidR="0054170B" w:rsidRPr="0054170B" w:rsidRDefault="0054170B" w:rsidP="0054170B">
      <w:pPr>
        <w:spacing w:after="200" w:line="360" w:lineRule="auto"/>
        <w:jc w:val="both"/>
      </w:pPr>
      <w:r w:rsidRPr="0054170B">
        <w:t>Se encuentra en Primer Trámite Constitucional y tiene urgencia suma.</w:t>
      </w:r>
    </w:p>
    <w:p w14:paraId="6BED4DC4" w14:textId="4FEBA904" w:rsidR="0054170B" w:rsidRDefault="0054170B" w:rsidP="0054170B">
      <w:pPr>
        <w:spacing w:after="200" w:line="360" w:lineRule="auto"/>
        <w:jc w:val="both"/>
      </w:pPr>
      <w:r w:rsidRPr="0054170B">
        <w:t>La Comisión de Seguridad Pública estudió el proyecto de ley entre los meses de julio y octubre, y finalmente se aprobó la idea de legislar por la unanimidad de los miembros presentes en la Comisión.</w:t>
      </w:r>
    </w:p>
    <w:p w14:paraId="1EBFD945" w14:textId="77777777" w:rsidR="00AF5BD9" w:rsidRPr="0054170B" w:rsidRDefault="00AF5BD9" w:rsidP="0054170B">
      <w:pPr>
        <w:spacing w:after="200" w:line="360" w:lineRule="auto"/>
        <w:jc w:val="both"/>
      </w:pPr>
    </w:p>
    <w:p w14:paraId="7DD62F48" w14:textId="7969E998" w:rsidR="0054170B" w:rsidRPr="0054170B" w:rsidRDefault="0054170B" w:rsidP="0054170B">
      <w:pPr>
        <w:pStyle w:val="Prrafodelista"/>
        <w:numPr>
          <w:ilvl w:val="0"/>
          <w:numId w:val="11"/>
        </w:numPr>
        <w:spacing w:after="200" w:line="360" w:lineRule="auto"/>
        <w:jc w:val="both"/>
        <w:rPr>
          <w:b/>
        </w:rPr>
      </w:pPr>
      <w:r w:rsidRPr="0054170B">
        <w:rPr>
          <w:b/>
        </w:rPr>
        <w:lastRenderedPageBreak/>
        <w:t>Contenido del proyecto</w:t>
      </w:r>
    </w:p>
    <w:p w14:paraId="5ACDDA46" w14:textId="6FE475FB" w:rsidR="0054170B" w:rsidRDefault="00AF5BD9" w:rsidP="0054170B">
      <w:p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El proyecto consta de 4 artículos permanentes que modifican diversos cuerpos legales, en el siguiente sentido:</w:t>
      </w:r>
    </w:p>
    <w:p w14:paraId="2A8F116D" w14:textId="3AFB1928" w:rsidR="00AF5BD9" w:rsidRDefault="00AF5BD9" w:rsidP="00AF5BD9">
      <w:pPr>
        <w:pStyle w:val="Prrafodelista"/>
        <w:numPr>
          <w:ilvl w:val="0"/>
          <w:numId w:val="12"/>
        </w:num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Artículo 1°, modifica el Código Penal.</w:t>
      </w:r>
    </w:p>
    <w:p w14:paraId="4E00E3EE" w14:textId="10AB53CC" w:rsidR="00AF5BD9" w:rsidRDefault="00AF5BD9" w:rsidP="00AF5BD9">
      <w:p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Se proponen en este sentido, nuevas figuras penales relativas a daños en establecimientos educacionales, infraestructura comunitaria y en transporte público.</w:t>
      </w:r>
    </w:p>
    <w:p w14:paraId="17BA7F2C" w14:textId="590F9018" w:rsidR="00AF5BD9" w:rsidRDefault="00AF5BD9" w:rsidP="00AF5BD9">
      <w:p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Se incluye también un nuevo artículo 486 bis, por el cual se sanciona el rayado de paredes sin la autorización correspondiente</w:t>
      </w:r>
    </w:p>
    <w:p w14:paraId="346D795E" w14:textId="3DFAD208" w:rsidR="00AF5BD9" w:rsidRDefault="00AF5BD9" w:rsidP="00AF5BD9">
      <w:p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 xml:space="preserve">Finalmente, en lo relativo al Código Penal, </w:t>
      </w:r>
      <w:r w:rsidR="0076135C">
        <w:rPr>
          <w:rFonts w:ascii="Calibri" w:eastAsia="Calibri" w:hAnsi="Calibri" w:cs="Calibri"/>
          <w:sz w:val="24"/>
          <w:szCs w:val="24"/>
          <w:lang w:val="es-CL"/>
        </w:rPr>
        <w:t>se propone sancionar la acumulación de basura fuera del domicilio sin la autorización debido y fuera de los espacios destinados para el efecto.</w:t>
      </w:r>
    </w:p>
    <w:p w14:paraId="5A585FE3" w14:textId="5EF38E21" w:rsidR="0076135C" w:rsidRDefault="0076135C" w:rsidP="0076135C">
      <w:pPr>
        <w:pStyle w:val="Prrafodelista"/>
        <w:numPr>
          <w:ilvl w:val="0"/>
          <w:numId w:val="12"/>
        </w:num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Artículo 2°, modifica la Ley sobre Expendio y consumo de Alcoholes.</w:t>
      </w:r>
    </w:p>
    <w:p w14:paraId="75B36A30" w14:textId="7C69E8CE" w:rsidR="0076135C" w:rsidRDefault="0076135C" w:rsidP="0076135C">
      <w:p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Se aumenta la sanción al consumo de alcohol en la vía pública o espacios comunes de la copropiedad, en el sentido de trasladarse desde un régimen netamente de infracción a fijarse una falta penal.</w:t>
      </w:r>
    </w:p>
    <w:p w14:paraId="06152A7D" w14:textId="23B449C2" w:rsidR="0076135C" w:rsidRPr="0076135C" w:rsidRDefault="0076135C" w:rsidP="0076135C">
      <w:pPr>
        <w:pStyle w:val="Prrafodelista"/>
        <w:numPr>
          <w:ilvl w:val="0"/>
          <w:numId w:val="12"/>
        </w:num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Artículo 3°, modifica la Ley de Tránsito Ilícito de Estupefacientes y Sustancias Sicotrópicas.</w:t>
      </w:r>
    </w:p>
    <w:p w14:paraId="64B7931E" w14:textId="4FA5848D" w:rsidR="0076135C" w:rsidRDefault="0076135C" w:rsidP="0076135C">
      <w:p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Modificación adecuatoria en el sentido de incorporar la sanción de consumo de alcohol a espacios comunes de la copropiedad inmobiliaria.</w:t>
      </w:r>
    </w:p>
    <w:p w14:paraId="1BDAFB6D" w14:textId="5E0BC73C" w:rsidR="001A5053" w:rsidRDefault="001A5053" w:rsidP="001A5053">
      <w:pPr>
        <w:pStyle w:val="Prrafodelista"/>
        <w:numPr>
          <w:ilvl w:val="0"/>
          <w:numId w:val="12"/>
        </w:num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Artículo 4°, Ley General de Urbanismo y Construcciones</w:t>
      </w:r>
    </w:p>
    <w:p w14:paraId="59271E88" w14:textId="0AD9F9AE" w:rsidR="0054170B" w:rsidRDefault="001A5053" w:rsidP="0054170B">
      <w:pPr>
        <w:spacing w:after="200" w:line="360" w:lineRule="auto"/>
        <w:jc w:val="both"/>
        <w:rPr>
          <w:rFonts w:ascii="Calibri" w:eastAsia="Calibri" w:hAnsi="Calibri" w:cs="Calibri"/>
          <w:sz w:val="24"/>
          <w:szCs w:val="24"/>
          <w:lang w:val="es-CL"/>
        </w:rPr>
      </w:pPr>
      <w:r>
        <w:rPr>
          <w:rFonts w:ascii="Calibri" w:eastAsia="Calibri" w:hAnsi="Calibri" w:cs="Calibri"/>
          <w:sz w:val="24"/>
          <w:szCs w:val="24"/>
          <w:lang w:val="es-CL"/>
        </w:rPr>
        <w:t>Se establecen normas relativas a la obligación de establecer cierros en sitios eriazos que se encuentren en sectores urbanos.</w:t>
      </w:r>
    </w:p>
    <w:p w14:paraId="674C47D3" w14:textId="77777777" w:rsidR="001A5053" w:rsidRDefault="001A5053" w:rsidP="0054170B">
      <w:pPr>
        <w:spacing w:after="200" w:line="360" w:lineRule="auto"/>
        <w:jc w:val="both"/>
        <w:rPr>
          <w:rFonts w:ascii="Calibri" w:eastAsia="Calibri" w:hAnsi="Calibri" w:cs="Calibri"/>
          <w:sz w:val="24"/>
          <w:szCs w:val="24"/>
          <w:lang w:val="es-CL"/>
        </w:rPr>
      </w:pPr>
    </w:p>
    <w:p w14:paraId="1EAD13B6" w14:textId="4C76EA36" w:rsidR="007F60C4" w:rsidRPr="00C92363" w:rsidRDefault="007F60C4" w:rsidP="0054170B">
      <w:pPr>
        <w:spacing w:after="200" w:line="360" w:lineRule="auto"/>
        <w:jc w:val="both"/>
      </w:pPr>
      <w:r w:rsidRPr="0054170B">
        <w:rPr>
          <w:rFonts w:ascii="Calibri" w:eastAsia="Calibri" w:hAnsi="Calibri" w:cs="Calibri"/>
          <w:sz w:val="24"/>
          <w:szCs w:val="24"/>
          <w:lang w:val="es-CL"/>
        </w:rPr>
        <w:lastRenderedPageBreak/>
        <w:tab/>
      </w:r>
      <w:r w:rsidR="00B436FE">
        <w:rPr>
          <w:rFonts w:eastAsia="Times New Roman" w:cs="Times New Roman"/>
          <w:noProof/>
          <w:lang w:val="es-CL" w:eastAsia="es-CL"/>
        </w:rPr>
        <mc:AlternateContent>
          <mc:Choice Requires="wps">
            <w:drawing>
              <wp:anchor distT="0" distB="0" distL="114300" distR="114300" simplePos="0" relativeHeight="251660288" behindDoc="0" locked="0" layoutInCell="1" allowOverlap="1" wp14:anchorId="74E880EC" wp14:editId="44CECC0D">
                <wp:simplePos x="0" y="0"/>
                <wp:positionH relativeFrom="column">
                  <wp:posOffset>-3810</wp:posOffset>
                </wp:positionH>
                <wp:positionV relativeFrom="paragraph">
                  <wp:posOffset>181610</wp:posOffset>
                </wp:positionV>
                <wp:extent cx="5699760" cy="4381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38150"/>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BE46A6" w14:textId="77777777" w:rsidR="007F60C4" w:rsidRPr="003C251A" w:rsidRDefault="007F60C4" w:rsidP="007F60C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880EC" id="Cuadro de texto 1" o:spid="_x0000_s1028" type="#_x0000_t202" style="position:absolute;left:0;text-align:left;margin-left:-.3pt;margin-top:14.3pt;width:448.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" fillcolor="#587993" stroked="f" strokecolor="teal" strokeweight="1.5pt">
                <v:textbox>
                  <w:txbxContent>
                    <w:p w14:paraId="2ABE46A6" w14:textId="77777777" w:rsidR="007F60C4" w:rsidRPr="003C251A" w:rsidRDefault="007F60C4" w:rsidP="007F60C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v:textbox>
              </v:shape>
            </w:pict>
          </mc:Fallback>
        </mc:AlternateContent>
      </w:r>
    </w:p>
    <w:p w14:paraId="70D9DEA4" w14:textId="77777777" w:rsidR="001D28A5" w:rsidRDefault="001D28A5" w:rsidP="00A47A41">
      <w:pPr>
        <w:pStyle w:val="Prrafodelista"/>
        <w:spacing w:after="200" w:line="360" w:lineRule="auto"/>
        <w:ind w:left="1080"/>
        <w:jc w:val="both"/>
        <w:rPr>
          <w:rFonts w:ascii="Calibri" w:eastAsia="Calibri" w:hAnsi="Calibri" w:cs="Calibri"/>
          <w:sz w:val="24"/>
          <w:szCs w:val="24"/>
        </w:rPr>
      </w:pPr>
    </w:p>
    <w:p w14:paraId="0C2B41A0" w14:textId="77777777" w:rsidR="00194364" w:rsidRDefault="00194364" w:rsidP="00E855CF">
      <w:pPr>
        <w:spacing w:line="360" w:lineRule="auto"/>
        <w:jc w:val="both"/>
        <w:rPr>
          <w:rFonts w:ascii="Calibri" w:hAnsi="Calibri" w:cs="Arial"/>
          <w:lang w:val="es-CL"/>
        </w:rPr>
      </w:pPr>
    </w:p>
    <w:p w14:paraId="57801BEB" w14:textId="1FE5A4DB" w:rsidR="00103A10" w:rsidRPr="0006744C" w:rsidRDefault="00194364" w:rsidP="00E855CF">
      <w:pPr>
        <w:spacing w:line="360" w:lineRule="auto"/>
        <w:jc w:val="both"/>
        <w:rPr>
          <w:rFonts w:ascii="Calibri" w:hAnsi="Calibri" w:cs="Arial"/>
          <w:sz w:val="24"/>
          <w:szCs w:val="24"/>
          <w:lang w:val="es-CL"/>
        </w:rPr>
      </w:pPr>
      <w:r w:rsidRPr="0006744C">
        <w:rPr>
          <w:rFonts w:ascii="Calibri" w:hAnsi="Calibri" w:cs="Arial"/>
          <w:sz w:val="24"/>
          <w:szCs w:val="24"/>
          <w:lang w:val="es-CL"/>
        </w:rPr>
        <w:t>Es necesario mencionar en primer lugar, que tal como lo mencionó el Ministro Andrés Chadwick en la presentación del proyecto de ley, el objetivo de éste dice relación con el establecimiento de normas específicas relativas a perfeccionar la convivencia en paz y el poder de vivir la vecindad.</w:t>
      </w:r>
    </w:p>
    <w:p w14:paraId="47F2307D" w14:textId="374B264F" w:rsidR="00194364" w:rsidRPr="0006744C" w:rsidRDefault="00194364" w:rsidP="00E855CF">
      <w:pPr>
        <w:spacing w:line="360" w:lineRule="auto"/>
        <w:jc w:val="both"/>
        <w:rPr>
          <w:rFonts w:ascii="Calibri" w:hAnsi="Calibri" w:cs="Arial"/>
          <w:sz w:val="24"/>
          <w:szCs w:val="24"/>
          <w:lang w:val="es-CL"/>
        </w:rPr>
      </w:pPr>
      <w:r w:rsidRPr="0006744C">
        <w:rPr>
          <w:rFonts w:ascii="Calibri" w:hAnsi="Calibri" w:cs="Arial"/>
          <w:sz w:val="24"/>
          <w:szCs w:val="24"/>
          <w:lang w:val="es-CL"/>
        </w:rPr>
        <w:t>Para lo anterior, en primer lugar se incorporan nuevas sanciones relativas a aquellos delitos que digan relación con los daños en la infraestructura educacional, o bien en bienes de uso público, como plazas, luminarias, etc.</w:t>
      </w:r>
    </w:p>
    <w:p w14:paraId="59097911" w14:textId="6B6BD2B9" w:rsidR="00194364" w:rsidRPr="0006744C" w:rsidRDefault="00194364" w:rsidP="00E855CF">
      <w:pPr>
        <w:spacing w:line="360" w:lineRule="auto"/>
        <w:jc w:val="both"/>
        <w:rPr>
          <w:rFonts w:ascii="Calibri" w:hAnsi="Calibri" w:cs="Arial"/>
          <w:sz w:val="24"/>
          <w:szCs w:val="24"/>
          <w:lang w:val="es-CL"/>
        </w:rPr>
      </w:pPr>
      <w:r w:rsidRPr="0006744C">
        <w:rPr>
          <w:rFonts w:ascii="Calibri" w:hAnsi="Calibri" w:cs="Arial"/>
          <w:sz w:val="24"/>
          <w:szCs w:val="24"/>
          <w:lang w:val="es-CL"/>
        </w:rPr>
        <w:t xml:space="preserve">Por otra parte, es necesario precisar que el proyecto se basa en el desarrollo de la “Teoría de las ventanas rotas”, en virtud de la cual, según se dice en la criminología, aquellos lugares urbanos que se mantienen en malas condiciones, propician la posibilidad de actividad delictual, mientras que </w:t>
      </w:r>
      <w:r w:rsidR="00252554" w:rsidRPr="0006744C">
        <w:rPr>
          <w:rFonts w:ascii="Calibri" w:hAnsi="Calibri" w:cs="Arial"/>
          <w:sz w:val="24"/>
          <w:szCs w:val="24"/>
          <w:lang w:val="es-CL"/>
        </w:rPr>
        <w:t>el hecho de mantener el ambiente urbano en buenas condiciones favorece el combate contra el delito.</w:t>
      </w:r>
    </w:p>
    <w:p w14:paraId="227FE896" w14:textId="14EE7440" w:rsidR="00252554" w:rsidRPr="0006744C" w:rsidRDefault="00252554" w:rsidP="00E855CF">
      <w:pPr>
        <w:spacing w:line="360" w:lineRule="auto"/>
        <w:jc w:val="both"/>
        <w:rPr>
          <w:rFonts w:ascii="Calibri" w:hAnsi="Calibri" w:cs="Arial"/>
          <w:sz w:val="24"/>
          <w:szCs w:val="24"/>
          <w:lang w:val="es-CL"/>
        </w:rPr>
      </w:pPr>
      <w:r w:rsidRPr="0006744C">
        <w:rPr>
          <w:rFonts w:ascii="Calibri" w:hAnsi="Calibri" w:cs="Arial"/>
          <w:sz w:val="24"/>
          <w:szCs w:val="24"/>
          <w:lang w:val="es-CL"/>
        </w:rPr>
        <w:t>En torno por ejemplo al caso de los rayados, cuya sanción se endurece en el proyecto de ley, se menciona el caso de Lima, en donde el aumento de las sanciones relativas a este punto, significaron una disminución prácticamente a punto cero.</w:t>
      </w:r>
    </w:p>
    <w:p w14:paraId="1AEE6EF4" w14:textId="09C3DBAE" w:rsidR="00252554" w:rsidRDefault="0006744C" w:rsidP="00E855CF">
      <w:pPr>
        <w:spacing w:line="360" w:lineRule="auto"/>
        <w:jc w:val="both"/>
        <w:rPr>
          <w:rFonts w:ascii="Calibri" w:hAnsi="Calibri" w:cs="Arial"/>
          <w:sz w:val="24"/>
          <w:szCs w:val="24"/>
          <w:lang w:val="es-CL"/>
        </w:rPr>
      </w:pPr>
      <w:r w:rsidRPr="0006744C">
        <w:rPr>
          <w:rFonts w:ascii="Calibri" w:hAnsi="Calibri" w:cs="Arial"/>
          <w:sz w:val="24"/>
          <w:szCs w:val="24"/>
          <w:lang w:val="es-CL"/>
        </w:rPr>
        <w:t xml:space="preserve">Cabe mencionar en otro sentido, que </w:t>
      </w:r>
      <w:r>
        <w:rPr>
          <w:rFonts w:ascii="Calibri" w:hAnsi="Calibri" w:cs="Arial"/>
          <w:sz w:val="24"/>
          <w:szCs w:val="24"/>
          <w:lang w:val="es-CL"/>
        </w:rPr>
        <w:t>la figuras penales que se consideran en el proyecto de ley atienden a la política elegida por el Ejecutivo en torno a las conductas que según el parecer y los datos que aporta la ENUSC, son aquellos que atentan directamente en contra de la convivencia y seguridad ciudadana.</w:t>
      </w:r>
    </w:p>
    <w:p w14:paraId="39CF5A42" w14:textId="29E8CE1E" w:rsidR="0006744C" w:rsidRPr="0006744C" w:rsidRDefault="0006744C" w:rsidP="00E855CF">
      <w:pPr>
        <w:spacing w:line="360" w:lineRule="auto"/>
        <w:jc w:val="both"/>
        <w:rPr>
          <w:rFonts w:ascii="Calibri" w:hAnsi="Calibri" w:cs="Arial"/>
          <w:b/>
          <w:sz w:val="24"/>
          <w:szCs w:val="24"/>
          <w:lang w:val="es-CL"/>
        </w:rPr>
      </w:pPr>
      <w:r w:rsidRPr="0006744C">
        <w:rPr>
          <w:rFonts w:ascii="Calibri" w:hAnsi="Calibri" w:cs="Arial"/>
          <w:b/>
          <w:sz w:val="24"/>
          <w:szCs w:val="24"/>
          <w:lang w:val="es-CL"/>
        </w:rPr>
        <w:t>Por todo lo anterior, se sugiere votación A FAVOR.</w:t>
      </w:r>
    </w:p>
    <w:p w14:paraId="37F1BD20" w14:textId="4FF1567B" w:rsidR="00194364" w:rsidRDefault="00194364" w:rsidP="00E855CF">
      <w:pPr>
        <w:spacing w:line="360" w:lineRule="auto"/>
        <w:jc w:val="both"/>
        <w:rPr>
          <w:rFonts w:ascii="Calibri" w:hAnsi="Calibri" w:cs="Arial"/>
          <w:lang w:val="es-CL"/>
        </w:rPr>
      </w:pPr>
    </w:p>
    <w:p w14:paraId="788F8F10" w14:textId="77777777" w:rsidR="00194364" w:rsidRPr="00E855CF" w:rsidRDefault="00194364" w:rsidP="00E855CF">
      <w:pPr>
        <w:spacing w:line="360" w:lineRule="auto"/>
        <w:jc w:val="both"/>
        <w:rPr>
          <w:rFonts w:ascii="Calibri" w:hAnsi="Calibri" w:cs="Arial"/>
          <w:lang w:val="es-CL"/>
        </w:rPr>
      </w:pPr>
    </w:p>
    <w:sectPr w:rsidR="00194364" w:rsidRPr="00E855CF" w:rsidSect="00771C32">
      <w:footerReference w:type="default" r:id="rId9"/>
      <w:headerReference w:type="first" r:id="rId10"/>
      <w:footerReference w:type="first" r:id="rId11"/>
      <w:pgSz w:w="12240" w:h="15840" w:code="11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1C674" w14:textId="77777777" w:rsidR="0003602B" w:rsidRDefault="0003602B" w:rsidP="007F60C4">
      <w:pPr>
        <w:spacing w:after="0" w:line="240" w:lineRule="auto"/>
      </w:pPr>
      <w:r>
        <w:separator/>
      </w:r>
    </w:p>
  </w:endnote>
  <w:endnote w:type="continuationSeparator" w:id="0">
    <w:p w14:paraId="4B4F39D2" w14:textId="77777777" w:rsidR="0003602B" w:rsidRDefault="0003602B" w:rsidP="007F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965B" w14:textId="77777777" w:rsidR="00544322" w:rsidRPr="00C973FC" w:rsidRDefault="0003602B" w:rsidP="00771C32">
    <w:pPr>
      <w:pStyle w:val="Encabezado"/>
      <w:spacing w:line="288" w:lineRule="auto"/>
      <w:jc w:val="center"/>
      <w:rPr>
        <w:b/>
        <w:color w:val="587993"/>
        <w:sz w:val="20"/>
        <w:szCs w:val="20"/>
      </w:rPr>
    </w:pPr>
  </w:p>
  <w:p w14:paraId="5BE7EB16" w14:textId="77777777" w:rsidR="00544322" w:rsidRPr="00F41C69" w:rsidRDefault="00D34210" w:rsidP="00771C32">
    <w:pPr>
      <w:pStyle w:val="Piedepgina"/>
      <w:tabs>
        <w:tab w:val="right" w:pos="9724"/>
      </w:tabs>
      <w:ind w:left="-935" w:right="-886"/>
      <w:jc w:val="center"/>
      <w:rPr>
        <w:rFonts w:ascii="Georgia" w:hAnsi="Georgia"/>
        <w:color w:val="4D4D4D"/>
        <w:spacing w:val="6"/>
        <w:sz w:val="16"/>
        <w:lang w:val="pt-BR"/>
      </w:rPr>
    </w:pPr>
    <w:r>
      <w:rPr>
        <w:rFonts w:ascii="Georgia" w:hAnsi="Georgia"/>
        <w:noProof/>
        <w:color w:val="4D4D4D"/>
        <w:spacing w:val="6"/>
        <w:sz w:val="16"/>
        <w:lang w:val="es-CL" w:eastAsia="es-CL"/>
      </w:rPr>
      <w:drawing>
        <wp:inline distT="0" distB="0" distL="0" distR="0" wp14:anchorId="6B544276" wp14:editId="1A86A207">
          <wp:extent cx="4667250" cy="476250"/>
          <wp:effectExtent l="0" t="0" r="0" b="0"/>
          <wp:docPr id="6" name="Imagen 6" descr="resumen a la s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n a la sa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476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A885" w14:textId="77777777" w:rsidR="00544322" w:rsidRDefault="0003602B" w:rsidP="00771C32">
    <w:pPr>
      <w:pStyle w:val="Piedepgina"/>
      <w:tabs>
        <w:tab w:val="right" w:pos="9911"/>
      </w:tabs>
      <w:spacing w:line="312" w:lineRule="auto"/>
      <w:ind w:left="-1122" w:right="-1073"/>
      <w:jc w:val="center"/>
      <w:rPr>
        <w:rFonts w:ascii="Georgia" w:hAnsi="Georgia"/>
        <w:color w:val="4D4D4D"/>
        <w:spacing w:val="8"/>
        <w:sz w:val="16"/>
        <w:lang w:val="pt-BR"/>
      </w:rPr>
    </w:pPr>
  </w:p>
  <w:p w14:paraId="72BAE43C" w14:textId="77777777" w:rsidR="00544322" w:rsidRPr="00F41C69" w:rsidRDefault="0003602B" w:rsidP="00771C32">
    <w:pPr>
      <w:pStyle w:val="Piedepgina"/>
      <w:tabs>
        <w:tab w:val="right" w:pos="9911"/>
      </w:tabs>
      <w:spacing w:line="312" w:lineRule="auto"/>
      <w:ind w:left="-1122" w:right="-1073"/>
      <w:jc w:val="center"/>
      <w:rPr>
        <w:rFonts w:ascii="Georgia" w:hAnsi="Georgia"/>
        <w:color w:val="4D4D4D"/>
        <w:spacing w:val="8"/>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AE7E" w14:textId="77777777" w:rsidR="0003602B" w:rsidRDefault="0003602B" w:rsidP="007F60C4">
      <w:pPr>
        <w:spacing w:after="0" w:line="240" w:lineRule="auto"/>
      </w:pPr>
      <w:r>
        <w:separator/>
      </w:r>
    </w:p>
  </w:footnote>
  <w:footnote w:type="continuationSeparator" w:id="0">
    <w:p w14:paraId="5E415AAC" w14:textId="77777777" w:rsidR="0003602B" w:rsidRDefault="0003602B" w:rsidP="007F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1288" w14:textId="77777777" w:rsidR="00544322" w:rsidRDefault="00D34210" w:rsidP="00697789">
    <w:pPr>
      <w:pStyle w:val="Encabezado"/>
      <w:ind w:left="-1276"/>
    </w:pPr>
    <w:r>
      <w:rPr>
        <w:noProof/>
        <w:lang w:val="es-CL" w:eastAsia="es-CL"/>
      </w:rPr>
      <w:drawing>
        <wp:inline distT="0" distB="0" distL="0" distR="0" wp14:anchorId="3A02B571" wp14:editId="14F79428">
          <wp:extent cx="7010400" cy="8096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809625"/>
                  </a:xfrm>
                  <a:prstGeom prst="rect">
                    <a:avLst/>
                  </a:prstGeom>
                  <a:noFill/>
                  <a:ln>
                    <a:noFill/>
                  </a:ln>
                </pic:spPr>
              </pic:pic>
            </a:graphicData>
          </a:graphic>
        </wp:inline>
      </w:drawing>
    </w:r>
  </w:p>
  <w:p w14:paraId="3964B776" w14:textId="77777777" w:rsidR="00544322" w:rsidRDefault="0003602B">
    <w:pPr>
      <w:pStyle w:val="Encabezado"/>
    </w:pPr>
  </w:p>
  <w:p w14:paraId="67DEEB5A" w14:textId="77777777" w:rsidR="00544322" w:rsidRDefault="000360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412"/>
    <w:multiLevelType w:val="hybridMultilevel"/>
    <w:tmpl w:val="2EF247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091542"/>
    <w:multiLevelType w:val="hybridMultilevel"/>
    <w:tmpl w:val="27D0A264"/>
    <w:lvl w:ilvl="0" w:tplc="DB00076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F205FF"/>
    <w:multiLevelType w:val="hybridMultilevel"/>
    <w:tmpl w:val="3DA69B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F9662A"/>
    <w:multiLevelType w:val="hybridMultilevel"/>
    <w:tmpl w:val="A84AC134"/>
    <w:lvl w:ilvl="0" w:tplc="1B4201F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118E2D1E"/>
    <w:multiLevelType w:val="hybridMultilevel"/>
    <w:tmpl w:val="937442E2"/>
    <w:lvl w:ilvl="0" w:tplc="622EE98E">
      <w:start w:val="3"/>
      <w:numFmt w:val="bullet"/>
      <w:lvlText w:val="-"/>
      <w:lvlJc w:val="left"/>
      <w:pPr>
        <w:ind w:left="1440" w:hanging="360"/>
      </w:pPr>
      <w:rPr>
        <w:rFonts w:ascii="Calibri" w:eastAsia="Calibr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BA06CF5"/>
    <w:multiLevelType w:val="hybridMultilevel"/>
    <w:tmpl w:val="7862E8B0"/>
    <w:lvl w:ilvl="0" w:tplc="0A46614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3822D9B"/>
    <w:multiLevelType w:val="hybridMultilevel"/>
    <w:tmpl w:val="B0789AB4"/>
    <w:lvl w:ilvl="0" w:tplc="27789D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675944"/>
    <w:multiLevelType w:val="hybridMultilevel"/>
    <w:tmpl w:val="D520E1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89E1BF9"/>
    <w:multiLevelType w:val="hybridMultilevel"/>
    <w:tmpl w:val="A24480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4C31148"/>
    <w:multiLevelType w:val="hybridMultilevel"/>
    <w:tmpl w:val="DA1E5248"/>
    <w:lvl w:ilvl="0" w:tplc="F35A46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B772DFC"/>
    <w:multiLevelType w:val="hybridMultilevel"/>
    <w:tmpl w:val="9A202EF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1">
    <w:nsid w:val="66220008"/>
    <w:multiLevelType w:val="hybridMultilevel"/>
    <w:tmpl w:val="53C04C5E"/>
    <w:lvl w:ilvl="0" w:tplc="3B04973C">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11"/>
  </w:num>
  <w:num w:numId="8">
    <w:abstractNumId w:val="10"/>
  </w:num>
  <w:num w:numId="9">
    <w:abstractNumId w:val="7"/>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C4"/>
    <w:rsid w:val="000337BE"/>
    <w:rsid w:val="00033BA5"/>
    <w:rsid w:val="0003602B"/>
    <w:rsid w:val="0006744C"/>
    <w:rsid w:val="000713CC"/>
    <w:rsid w:val="0009466C"/>
    <w:rsid w:val="000A51D9"/>
    <w:rsid w:val="000C28A7"/>
    <w:rsid w:val="00103A10"/>
    <w:rsid w:val="00122C91"/>
    <w:rsid w:val="0014710B"/>
    <w:rsid w:val="001863B1"/>
    <w:rsid w:val="00194364"/>
    <w:rsid w:val="001A5053"/>
    <w:rsid w:val="001B1EC3"/>
    <w:rsid w:val="001B6323"/>
    <w:rsid w:val="001D28A5"/>
    <w:rsid w:val="00213C0E"/>
    <w:rsid w:val="0021693A"/>
    <w:rsid w:val="00217FAA"/>
    <w:rsid w:val="00220B5C"/>
    <w:rsid w:val="00220E51"/>
    <w:rsid w:val="00225579"/>
    <w:rsid w:val="002326B6"/>
    <w:rsid w:val="00252554"/>
    <w:rsid w:val="00261C30"/>
    <w:rsid w:val="0028486B"/>
    <w:rsid w:val="002C1EC7"/>
    <w:rsid w:val="002E79A9"/>
    <w:rsid w:val="002F649D"/>
    <w:rsid w:val="00312DFE"/>
    <w:rsid w:val="00313971"/>
    <w:rsid w:val="0032013D"/>
    <w:rsid w:val="0034520A"/>
    <w:rsid w:val="00371621"/>
    <w:rsid w:val="0038380D"/>
    <w:rsid w:val="00396AAB"/>
    <w:rsid w:val="003A0916"/>
    <w:rsid w:val="003B6325"/>
    <w:rsid w:val="003E59F9"/>
    <w:rsid w:val="00407F38"/>
    <w:rsid w:val="004479BE"/>
    <w:rsid w:val="004560E1"/>
    <w:rsid w:val="004860F4"/>
    <w:rsid w:val="00491F56"/>
    <w:rsid w:val="004A4D08"/>
    <w:rsid w:val="004B0467"/>
    <w:rsid w:val="004C1B14"/>
    <w:rsid w:val="004D02D8"/>
    <w:rsid w:val="004D2C25"/>
    <w:rsid w:val="004F748E"/>
    <w:rsid w:val="0053022C"/>
    <w:rsid w:val="00535A80"/>
    <w:rsid w:val="0054170B"/>
    <w:rsid w:val="00555E1D"/>
    <w:rsid w:val="005747AA"/>
    <w:rsid w:val="005827E3"/>
    <w:rsid w:val="005F0291"/>
    <w:rsid w:val="006329F1"/>
    <w:rsid w:val="0068093E"/>
    <w:rsid w:val="00696CF8"/>
    <w:rsid w:val="006F2BA9"/>
    <w:rsid w:val="00721DAA"/>
    <w:rsid w:val="00751F3E"/>
    <w:rsid w:val="007529B0"/>
    <w:rsid w:val="0076135C"/>
    <w:rsid w:val="00766FED"/>
    <w:rsid w:val="00775221"/>
    <w:rsid w:val="00785A44"/>
    <w:rsid w:val="00785E42"/>
    <w:rsid w:val="00786668"/>
    <w:rsid w:val="007C4840"/>
    <w:rsid w:val="007D5F30"/>
    <w:rsid w:val="007D5FF9"/>
    <w:rsid w:val="007E55E8"/>
    <w:rsid w:val="007F60C4"/>
    <w:rsid w:val="00822BFD"/>
    <w:rsid w:val="008357FD"/>
    <w:rsid w:val="00836370"/>
    <w:rsid w:val="00844DE0"/>
    <w:rsid w:val="00846D3E"/>
    <w:rsid w:val="00856D75"/>
    <w:rsid w:val="008614F3"/>
    <w:rsid w:val="00866944"/>
    <w:rsid w:val="00876C50"/>
    <w:rsid w:val="008D77FC"/>
    <w:rsid w:val="00905931"/>
    <w:rsid w:val="00916F2A"/>
    <w:rsid w:val="00922743"/>
    <w:rsid w:val="0093030B"/>
    <w:rsid w:val="009319DD"/>
    <w:rsid w:val="00957857"/>
    <w:rsid w:val="00962DD4"/>
    <w:rsid w:val="009C2A7B"/>
    <w:rsid w:val="009D256B"/>
    <w:rsid w:val="009E1535"/>
    <w:rsid w:val="00A152D0"/>
    <w:rsid w:val="00A47A41"/>
    <w:rsid w:val="00AA0C74"/>
    <w:rsid w:val="00AB423C"/>
    <w:rsid w:val="00AF5BD9"/>
    <w:rsid w:val="00AF603B"/>
    <w:rsid w:val="00B1269C"/>
    <w:rsid w:val="00B436FE"/>
    <w:rsid w:val="00B84DA3"/>
    <w:rsid w:val="00B971E0"/>
    <w:rsid w:val="00BA420C"/>
    <w:rsid w:val="00BC4B89"/>
    <w:rsid w:val="00C2389A"/>
    <w:rsid w:val="00C5772E"/>
    <w:rsid w:val="00C72AB1"/>
    <w:rsid w:val="00C92363"/>
    <w:rsid w:val="00CC1F84"/>
    <w:rsid w:val="00CE771B"/>
    <w:rsid w:val="00CF5820"/>
    <w:rsid w:val="00D17E20"/>
    <w:rsid w:val="00D34210"/>
    <w:rsid w:val="00D83206"/>
    <w:rsid w:val="00D95F73"/>
    <w:rsid w:val="00DC3B44"/>
    <w:rsid w:val="00DC60B9"/>
    <w:rsid w:val="00DE79B2"/>
    <w:rsid w:val="00DE7EC5"/>
    <w:rsid w:val="00DF3E41"/>
    <w:rsid w:val="00DF6CA4"/>
    <w:rsid w:val="00E36C1D"/>
    <w:rsid w:val="00E42B80"/>
    <w:rsid w:val="00E55F85"/>
    <w:rsid w:val="00E62AB8"/>
    <w:rsid w:val="00E855CF"/>
    <w:rsid w:val="00E95AC0"/>
    <w:rsid w:val="00F44FCE"/>
    <w:rsid w:val="00F54E04"/>
    <w:rsid w:val="00F73209"/>
    <w:rsid w:val="00FD52A0"/>
    <w:rsid w:val="00FD6F4F"/>
    <w:rsid w:val="00FE46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0C4"/>
  </w:style>
  <w:style w:type="paragraph" w:styleId="Piedepgina">
    <w:name w:val="footer"/>
    <w:basedOn w:val="Normal"/>
    <w:link w:val="PiedepginaCar"/>
    <w:uiPriority w:val="99"/>
    <w:unhideWhenUsed/>
    <w:rsid w:val="007F6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0C4"/>
  </w:style>
  <w:style w:type="paragraph" w:styleId="Textonotapie">
    <w:name w:val="footnote text"/>
    <w:basedOn w:val="Normal"/>
    <w:link w:val="TextonotapieCar"/>
    <w:unhideWhenUsed/>
    <w:rsid w:val="007F60C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7F60C4"/>
    <w:rPr>
      <w:rFonts w:ascii="Times New Roman" w:eastAsia="Times New Roman" w:hAnsi="Times New Roman" w:cs="Times New Roman"/>
      <w:sz w:val="20"/>
      <w:szCs w:val="20"/>
      <w:lang w:eastAsia="es-ES"/>
    </w:rPr>
  </w:style>
  <w:style w:type="character" w:styleId="Refdenotaalpie">
    <w:name w:val="footnote reference"/>
    <w:unhideWhenUsed/>
    <w:rsid w:val="007F60C4"/>
    <w:rPr>
      <w:vertAlign w:val="superscript"/>
    </w:rPr>
  </w:style>
  <w:style w:type="paragraph" w:styleId="Prrafodelista">
    <w:name w:val="List Paragraph"/>
    <w:basedOn w:val="Normal"/>
    <w:uiPriority w:val="34"/>
    <w:qFormat/>
    <w:rsid w:val="008614F3"/>
    <w:pPr>
      <w:ind w:left="720"/>
      <w:contextualSpacing/>
    </w:pPr>
  </w:style>
  <w:style w:type="paragraph" w:styleId="Textodeglobo">
    <w:name w:val="Balloon Text"/>
    <w:basedOn w:val="Normal"/>
    <w:link w:val="TextodegloboCar"/>
    <w:uiPriority w:val="99"/>
    <w:semiHidden/>
    <w:unhideWhenUsed/>
    <w:rsid w:val="00220E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0C4"/>
  </w:style>
  <w:style w:type="paragraph" w:styleId="Piedepgina">
    <w:name w:val="footer"/>
    <w:basedOn w:val="Normal"/>
    <w:link w:val="PiedepginaCar"/>
    <w:uiPriority w:val="99"/>
    <w:unhideWhenUsed/>
    <w:rsid w:val="007F6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0C4"/>
  </w:style>
  <w:style w:type="paragraph" w:styleId="Textonotapie">
    <w:name w:val="footnote text"/>
    <w:basedOn w:val="Normal"/>
    <w:link w:val="TextonotapieCar"/>
    <w:unhideWhenUsed/>
    <w:rsid w:val="007F60C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7F60C4"/>
    <w:rPr>
      <w:rFonts w:ascii="Times New Roman" w:eastAsia="Times New Roman" w:hAnsi="Times New Roman" w:cs="Times New Roman"/>
      <w:sz w:val="20"/>
      <w:szCs w:val="20"/>
      <w:lang w:eastAsia="es-ES"/>
    </w:rPr>
  </w:style>
  <w:style w:type="character" w:styleId="Refdenotaalpie">
    <w:name w:val="footnote reference"/>
    <w:unhideWhenUsed/>
    <w:rsid w:val="007F60C4"/>
    <w:rPr>
      <w:vertAlign w:val="superscript"/>
    </w:rPr>
  </w:style>
  <w:style w:type="paragraph" w:styleId="Prrafodelista">
    <w:name w:val="List Paragraph"/>
    <w:basedOn w:val="Normal"/>
    <w:uiPriority w:val="34"/>
    <w:qFormat/>
    <w:rsid w:val="008614F3"/>
    <w:pPr>
      <w:ind w:left="720"/>
      <w:contextualSpacing/>
    </w:pPr>
  </w:style>
  <w:style w:type="paragraph" w:styleId="Textodeglobo">
    <w:name w:val="Balloon Text"/>
    <w:basedOn w:val="Normal"/>
    <w:link w:val="TextodegloboCar"/>
    <w:uiPriority w:val="99"/>
    <w:semiHidden/>
    <w:unhideWhenUsed/>
    <w:rsid w:val="00220E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D55D-9C3C-4824-90D7-AC43AD91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dc:creator>
  <cp:lastModifiedBy>Magdalena Moncada</cp:lastModifiedBy>
  <cp:revision>2</cp:revision>
  <dcterms:created xsi:type="dcterms:W3CDTF">2018-11-30T20:15:00Z</dcterms:created>
  <dcterms:modified xsi:type="dcterms:W3CDTF">2018-11-30T20:15:00Z</dcterms:modified>
</cp:coreProperties>
</file>