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D61" w:rsidRPr="00EE6B30" w:rsidRDefault="00F53D61" w:rsidP="00EE6B30">
      <w:pPr>
        <w:tabs>
          <w:tab w:val="left" w:pos="740"/>
        </w:tabs>
        <w:spacing w:line="480" w:lineRule="auto"/>
        <w:jc w:val="both"/>
        <w:rPr>
          <w:rFonts w:ascii="Times New Roman" w:eastAsia="Malgun Gothic" w:hAnsi="Times New Roman" w:cs="Times New Roman"/>
          <w:b/>
          <w:sz w:val="24"/>
          <w:szCs w:val="24"/>
          <w:lang w:val="es-CL"/>
        </w:rPr>
      </w:pPr>
      <w:r w:rsidRPr="00EE6B30">
        <w:rPr>
          <w:rFonts w:ascii="Times New Roman" w:eastAsia="Malgun Gothic" w:hAnsi="Times New Roman" w:cs="Times New Roman"/>
          <w:b/>
          <w:sz w:val="24"/>
          <w:szCs w:val="24"/>
          <w:lang w:val="es-CL"/>
        </w:rPr>
        <w:t xml:space="preserve">Proyecto de ley que establece la condición socioeconómica de los estudiantes a los que deberán otorgarles estudios gratuitos las instituciones de educación superior que accedan al financiamiento institucional para la gratuidad a contar del año 2019, de acuerdo con lo dispuesto en el Título V de la Ley de Educación Superior (Boletín </w:t>
      </w:r>
      <w:proofErr w:type="spellStart"/>
      <w:r w:rsidRPr="00EE6B30">
        <w:rPr>
          <w:rFonts w:ascii="Times New Roman" w:eastAsia="Malgun Gothic" w:hAnsi="Times New Roman" w:cs="Times New Roman"/>
          <w:b/>
          <w:sz w:val="24"/>
          <w:szCs w:val="24"/>
          <w:lang w:val="es-CL"/>
        </w:rPr>
        <w:t>N°</w:t>
      </w:r>
      <w:proofErr w:type="spellEnd"/>
      <w:r w:rsidRPr="00EE6B30">
        <w:rPr>
          <w:rFonts w:ascii="Times New Roman" w:eastAsia="Malgun Gothic" w:hAnsi="Times New Roman" w:cs="Times New Roman"/>
          <w:b/>
          <w:sz w:val="24"/>
          <w:szCs w:val="24"/>
          <w:lang w:val="es-CL"/>
        </w:rPr>
        <w:t xml:space="preserve"> 11.687-04)</w:t>
      </w:r>
    </w:p>
    <w:p w:rsidR="00F53D61" w:rsidRPr="00EE6B30" w:rsidRDefault="00EE6B30" w:rsidP="00EE6B30">
      <w:pPr>
        <w:pStyle w:val="ListParagraph"/>
        <w:numPr>
          <w:ilvl w:val="0"/>
          <w:numId w:val="4"/>
        </w:numPr>
        <w:tabs>
          <w:tab w:val="left" w:pos="740"/>
        </w:tabs>
        <w:spacing w:line="480" w:lineRule="auto"/>
        <w:jc w:val="both"/>
        <w:rPr>
          <w:rFonts w:ascii="Times New Roman" w:eastAsia="Malgun Gothic" w:hAnsi="Times New Roman" w:cs="Times New Roman"/>
          <w:lang w:val="es-CL"/>
        </w:rPr>
      </w:pPr>
      <w:r w:rsidRPr="00EE6B30">
        <w:rPr>
          <w:rFonts w:ascii="Times New Roman" w:eastAsia="Malgun Gothic" w:hAnsi="Times New Roman" w:cs="Times New Roman"/>
          <w:lang w:val="es-CL"/>
        </w:rPr>
        <w:t xml:space="preserve">Se valora la prioridad respecto del sector técnico profesional. La ley de Educación Superior y la ley 20.910, que crea 15 CFT estatales, avanzaron en relevar el sector TP como un subsistema del sistema educativo y es importante seguir en ese esfuerzo. El Gobierno debiese también retomar la agenda de la Estrategia para Formación Técnico Profesional 2018-2030 desarrollada en conjunto con el sector privado y la participación de instituciones educativas, como también, avanzar con la implementación de los </w:t>
      </w:r>
      <w:proofErr w:type="spellStart"/>
      <w:r w:rsidRPr="00EE6B30">
        <w:rPr>
          <w:rFonts w:ascii="Times New Roman" w:eastAsia="Malgun Gothic" w:hAnsi="Times New Roman" w:cs="Times New Roman"/>
          <w:lang w:val="es-CL"/>
        </w:rPr>
        <w:t>CFTs</w:t>
      </w:r>
      <w:proofErr w:type="spellEnd"/>
      <w:r w:rsidRPr="00EE6B30">
        <w:rPr>
          <w:rFonts w:ascii="Times New Roman" w:eastAsia="Malgun Gothic" w:hAnsi="Times New Roman" w:cs="Times New Roman"/>
          <w:lang w:val="es-CL"/>
        </w:rPr>
        <w:t xml:space="preserve"> estatales.  </w:t>
      </w:r>
    </w:p>
    <w:p w:rsidR="00F53D61" w:rsidRPr="00EE6B30" w:rsidRDefault="00F53D61" w:rsidP="00EE6B30">
      <w:pPr>
        <w:pStyle w:val="ListParagraph"/>
        <w:numPr>
          <w:ilvl w:val="0"/>
          <w:numId w:val="2"/>
        </w:numPr>
        <w:tabs>
          <w:tab w:val="left" w:pos="740"/>
        </w:tabs>
        <w:spacing w:line="480" w:lineRule="auto"/>
        <w:jc w:val="both"/>
        <w:rPr>
          <w:rFonts w:ascii="Times New Roman" w:eastAsia="Malgun Gothic" w:hAnsi="Times New Roman" w:cs="Times New Roman"/>
          <w:lang w:val="es-CL"/>
        </w:rPr>
      </w:pPr>
      <w:r w:rsidRPr="00EE6B30">
        <w:rPr>
          <w:rFonts w:ascii="Times New Roman" w:eastAsia="Malgun Gothic" w:hAnsi="Times New Roman" w:cs="Times New Roman"/>
          <w:lang w:val="es-CL"/>
        </w:rPr>
        <w:t>Este proyecto por sí solo no basta para fortalecer el sector TP. Si no va acompañado de otras políticas para impulsar el sector</w:t>
      </w:r>
      <w:r w:rsidRPr="00EE6B30">
        <w:rPr>
          <w:rFonts w:ascii="Times New Roman" w:eastAsia="Malgun Gothic" w:hAnsi="Times New Roman" w:cs="Times New Roman"/>
          <w:lang w:val="es-CL"/>
        </w:rPr>
        <w:t>,</w:t>
      </w:r>
      <w:r w:rsidRPr="00EE6B30">
        <w:rPr>
          <w:rFonts w:ascii="Times New Roman" w:eastAsia="Malgun Gothic" w:hAnsi="Times New Roman" w:cs="Times New Roman"/>
          <w:lang w:val="es-CL"/>
        </w:rPr>
        <w:t xml:space="preserve"> puede incluso ser contraproducente. Es necesario otras consideraciones como: </w:t>
      </w:r>
    </w:p>
    <w:p w:rsidR="00F53D61" w:rsidRPr="00EE6B30" w:rsidRDefault="00F53D61" w:rsidP="00EE6B30">
      <w:pPr>
        <w:pStyle w:val="ListParagraph"/>
        <w:numPr>
          <w:ilvl w:val="0"/>
          <w:numId w:val="3"/>
        </w:numPr>
        <w:tabs>
          <w:tab w:val="left" w:pos="740"/>
        </w:tabs>
        <w:spacing w:line="480" w:lineRule="auto"/>
        <w:jc w:val="both"/>
        <w:rPr>
          <w:rFonts w:ascii="Times New Roman" w:eastAsia="Malgun Gothic" w:hAnsi="Times New Roman" w:cs="Times New Roman"/>
          <w:lang w:val="es-CL"/>
        </w:rPr>
      </w:pPr>
      <w:r w:rsidRPr="00EE6B30">
        <w:rPr>
          <w:rFonts w:ascii="Times New Roman" w:eastAsia="Malgun Gothic" w:hAnsi="Times New Roman" w:cs="Times New Roman"/>
          <w:lang w:val="es-CL"/>
        </w:rPr>
        <w:t xml:space="preserve">avanzar en la Estrategia Nacional de Formación Técnico Profesional; </w:t>
      </w:r>
    </w:p>
    <w:p w:rsidR="00F53D61" w:rsidRPr="00EE6B30" w:rsidRDefault="00F53D61" w:rsidP="00EE6B30">
      <w:pPr>
        <w:pStyle w:val="ListParagraph"/>
        <w:numPr>
          <w:ilvl w:val="0"/>
          <w:numId w:val="3"/>
        </w:numPr>
        <w:tabs>
          <w:tab w:val="left" w:pos="740"/>
        </w:tabs>
        <w:spacing w:line="480" w:lineRule="auto"/>
        <w:jc w:val="both"/>
        <w:rPr>
          <w:rFonts w:ascii="Times New Roman" w:eastAsia="Malgun Gothic" w:hAnsi="Times New Roman" w:cs="Times New Roman"/>
          <w:lang w:val="es-CL"/>
        </w:rPr>
      </w:pPr>
      <w:r w:rsidRPr="00EE6B30">
        <w:rPr>
          <w:rFonts w:ascii="Times New Roman" w:eastAsia="Malgun Gothic" w:hAnsi="Times New Roman" w:cs="Times New Roman"/>
          <w:lang w:val="es-CL"/>
        </w:rPr>
        <w:t>el desarrollo del Marco Nacional de Cualificaciones; y</w:t>
      </w:r>
      <w:r w:rsidRPr="00EE6B30">
        <w:rPr>
          <w:rFonts w:ascii="Times New Roman" w:eastAsia="Malgun Gothic" w:hAnsi="Times New Roman" w:cs="Times New Roman"/>
          <w:lang w:val="es-CL"/>
        </w:rPr>
        <w:t>,</w:t>
      </w:r>
      <w:r w:rsidRPr="00EE6B30">
        <w:rPr>
          <w:rFonts w:ascii="Times New Roman" w:eastAsia="Malgun Gothic" w:hAnsi="Times New Roman" w:cs="Times New Roman"/>
          <w:lang w:val="es-CL"/>
        </w:rPr>
        <w:t xml:space="preserve"> </w:t>
      </w:r>
    </w:p>
    <w:p w:rsidR="00F53D61" w:rsidRPr="00EE6B30" w:rsidRDefault="00F53D61" w:rsidP="00EE6B30">
      <w:pPr>
        <w:pStyle w:val="ListParagraph"/>
        <w:numPr>
          <w:ilvl w:val="0"/>
          <w:numId w:val="3"/>
        </w:numPr>
        <w:tabs>
          <w:tab w:val="left" w:pos="740"/>
        </w:tabs>
        <w:spacing w:line="480" w:lineRule="auto"/>
        <w:jc w:val="both"/>
        <w:rPr>
          <w:rFonts w:ascii="Times New Roman" w:eastAsia="Malgun Gothic" w:hAnsi="Times New Roman" w:cs="Times New Roman"/>
          <w:lang w:val="es-CL"/>
        </w:rPr>
      </w:pPr>
      <w:r w:rsidRPr="00EE6B30">
        <w:rPr>
          <w:rFonts w:ascii="Times New Roman" w:eastAsia="Malgun Gothic" w:hAnsi="Times New Roman" w:cs="Times New Roman"/>
          <w:lang w:val="es-CL"/>
        </w:rPr>
        <w:t xml:space="preserve">avanzar sustantivamente en la implementación de los CFT estatales. Si no se avanza en la implementación de los </w:t>
      </w:r>
      <w:proofErr w:type="spellStart"/>
      <w:r w:rsidRPr="00EE6B30">
        <w:rPr>
          <w:rFonts w:ascii="Times New Roman" w:eastAsia="Malgun Gothic" w:hAnsi="Times New Roman" w:cs="Times New Roman"/>
          <w:lang w:val="es-CL"/>
        </w:rPr>
        <w:t>CFTs</w:t>
      </w:r>
      <w:proofErr w:type="spellEnd"/>
      <w:r w:rsidRPr="00EE6B30">
        <w:rPr>
          <w:rFonts w:ascii="Times New Roman" w:eastAsia="Malgun Gothic" w:hAnsi="Times New Roman" w:cs="Times New Roman"/>
          <w:lang w:val="es-CL"/>
        </w:rPr>
        <w:t xml:space="preserve"> estatales creados por la ley 20.910, </w:t>
      </w:r>
      <w:r w:rsidRPr="00EE6B30">
        <w:rPr>
          <w:rFonts w:ascii="Times New Roman" w:eastAsia="Malgun Gothic" w:hAnsi="Times New Roman" w:cs="Times New Roman"/>
          <w:lang w:val="es-CL"/>
        </w:rPr>
        <w:t>esta</w:t>
      </w:r>
      <w:r w:rsidRPr="00EE6B30">
        <w:rPr>
          <w:rFonts w:ascii="Times New Roman" w:eastAsia="Malgun Gothic" w:hAnsi="Times New Roman" w:cs="Times New Roman"/>
          <w:lang w:val="es-CL"/>
        </w:rPr>
        <w:t xml:space="preserve"> gratuidad en la práctica será solo en instituciones privadas. </w:t>
      </w:r>
    </w:p>
    <w:p w:rsidR="00F53D61" w:rsidRPr="00EE6B30" w:rsidRDefault="00F53D61" w:rsidP="00EE6B30">
      <w:pPr>
        <w:pStyle w:val="ListParagraph"/>
        <w:numPr>
          <w:ilvl w:val="0"/>
          <w:numId w:val="2"/>
        </w:numPr>
        <w:tabs>
          <w:tab w:val="left" w:pos="740"/>
        </w:tabs>
        <w:spacing w:line="480" w:lineRule="auto"/>
        <w:jc w:val="both"/>
        <w:rPr>
          <w:rFonts w:ascii="Times New Roman" w:eastAsia="Malgun Gothic" w:hAnsi="Times New Roman" w:cs="Times New Roman"/>
          <w:lang w:val="es-CL"/>
        </w:rPr>
      </w:pPr>
      <w:r w:rsidRPr="00EE6B30">
        <w:rPr>
          <w:rFonts w:ascii="Times New Roman" w:eastAsia="Malgun Gothic" w:hAnsi="Times New Roman" w:cs="Times New Roman"/>
          <w:lang w:val="es-CL"/>
        </w:rPr>
        <w:t xml:space="preserve">Se debe incluir en el beneficio a los estudiantes </w:t>
      </w:r>
      <w:r w:rsidRPr="00EE6B30">
        <w:rPr>
          <w:rFonts w:ascii="Times New Roman" w:eastAsia="Malgun Gothic" w:hAnsi="Times New Roman" w:cs="Times New Roman"/>
          <w:lang w:val="es-CL"/>
        </w:rPr>
        <w:t>de carreras técnicas</w:t>
      </w:r>
      <w:r w:rsidRPr="00EE6B30">
        <w:rPr>
          <w:rFonts w:ascii="Times New Roman" w:eastAsia="Malgun Gothic" w:hAnsi="Times New Roman" w:cs="Times New Roman"/>
          <w:lang w:val="es-CL"/>
        </w:rPr>
        <w:t xml:space="preserve"> matriculados en las Universidades para evitar discriminación</w:t>
      </w:r>
      <w:r w:rsidRPr="00EE6B30">
        <w:rPr>
          <w:rFonts w:ascii="Times New Roman" w:eastAsia="Malgun Gothic" w:hAnsi="Times New Roman" w:cs="Times New Roman"/>
          <w:lang w:val="es-CL"/>
        </w:rPr>
        <w:t xml:space="preserve"> arbitraria</w:t>
      </w:r>
      <w:r w:rsidRPr="00EE6B30">
        <w:rPr>
          <w:rFonts w:ascii="Times New Roman" w:eastAsia="Malgun Gothic" w:hAnsi="Times New Roman" w:cs="Times New Roman"/>
          <w:lang w:val="es-CL"/>
        </w:rPr>
        <w:t xml:space="preserve"> (</w:t>
      </w:r>
      <w:proofErr w:type="spellStart"/>
      <w:r w:rsidRPr="00EE6B30">
        <w:rPr>
          <w:rFonts w:ascii="Times New Roman" w:eastAsia="Malgun Gothic" w:hAnsi="Times New Roman" w:cs="Times New Roman"/>
          <w:lang w:val="es-CL"/>
        </w:rPr>
        <w:t>ap</w:t>
      </w:r>
      <w:r w:rsidRPr="00EE6B30">
        <w:rPr>
          <w:rFonts w:ascii="Times New Roman" w:eastAsia="Malgun Gothic" w:hAnsi="Times New Roman" w:cs="Times New Roman"/>
          <w:lang w:val="es-CL"/>
        </w:rPr>
        <w:t>róx</w:t>
      </w:r>
      <w:proofErr w:type="spellEnd"/>
      <w:r w:rsidRPr="00EE6B30">
        <w:rPr>
          <w:rFonts w:ascii="Times New Roman" w:eastAsia="Malgun Gothic" w:hAnsi="Times New Roman" w:cs="Times New Roman"/>
          <w:lang w:val="es-CL"/>
        </w:rPr>
        <w:t xml:space="preserve">. 3000 estudiantes, es decir, costo de USD 7,5 millones más). </w:t>
      </w:r>
    </w:p>
    <w:p w:rsidR="00027CEF" w:rsidRPr="00EE6B30" w:rsidRDefault="00F53D61" w:rsidP="00EE6B30">
      <w:pPr>
        <w:pStyle w:val="ListParagraph"/>
        <w:numPr>
          <w:ilvl w:val="0"/>
          <w:numId w:val="2"/>
        </w:numPr>
        <w:tabs>
          <w:tab w:val="left" w:pos="740"/>
        </w:tabs>
        <w:spacing w:line="480" w:lineRule="auto"/>
        <w:jc w:val="both"/>
        <w:rPr>
          <w:rFonts w:ascii="Times New Roman" w:eastAsia="Malgun Gothic" w:hAnsi="Times New Roman" w:cs="Times New Roman"/>
          <w:lang w:val="es-CL"/>
        </w:rPr>
      </w:pPr>
      <w:r w:rsidRPr="00EE6B30">
        <w:rPr>
          <w:rFonts w:ascii="Times New Roman" w:eastAsia="Malgun Gothic" w:hAnsi="Times New Roman" w:cs="Times New Roman"/>
          <w:lang w:val="es-CL"/>
        </w:rPr>
        <w:t>Por otro lado,</w:t>
      </w:r>
      <w:r w:rsidRPr="00EE6B30">
        <w:rPr>
          <w:rFonts w:ascii="Times New Roman" w:eastAsia="Malgun Gothic" w:hAnsi="Times New Roman" w:cs="Times New Roman"/>
          <w:lang w:val="es-CL"/>
        </w:rPr>
        <w:t xml:space="preserve"> se debe </w:t>
      </w:r>
      <w:r w:rsidRPr="00EE6B30">
        <w:rPr>
          <w:rFonts w:ascii="Times New Roman" w:eastAsia="Malgun Gothic" w:hAnsi="Times New Roman" w:cs="Times New Roman"/>
          <w:lang w:val="es-CL"/>
        </w:rPr>
        <w:t xml:space="preserve">tener cuidado con que al </w:t>
      </w:r>
      <w:r w:rsidRPr="00EE6B30">
        <w:rPr>
          <w:rFonts w:ascii="Times New Roman" w:eastAsia="Malgun Gothic" w:hAnsi="Times New Roman" w:cs="Times New Roman"/>
          <w:lang w:val="es-CL"/>
        </w:rPr>
        <w:t>avanzar en gratuidad solo en el sector TP,</w:t>
      </w:r>
      <w:r w:rsidRPr="00EE6B30">
        <w:rPr>
          <w:rFonts w:ascii="Times New Roman" w:eastAsia="Malgun Gothic" w:hAnsi="Times New Roman" w:cs="Times New Roman"/>
          <w:lang w:val="es-CL"/>
        </w:rPr>
        <w:t xml:space="preserve"> se</w:t>
      </w:r>
      <w:r w:rsidRPr="00EE6B30">
        <w:rPr>
          <w:rFonts w:ascii="Times New Roman" w:eastAsia="Malgun Gothic" w:hAnsi="Times New Roman" w:cs="Times New Roman"/>
          <w:lang w:val="es-CL"/>
        </w:rPr>
        <w:t xml:space="preserve"> restringe</w:t>
      </w:r>
      <w:r w:rsidRPr="00EE6B30">
        <w:rPr>
          <w:rFonts w:ascii="Times New Roman" w:eastAsia="Malgun Gothic" w:hAnsi="Times New Roman" w:cs="Times New Roman"/>
          <w:lang w:val="es-CL"/>
        </w:rPr>
        <w:t>n</w:t>
      </w:r>
      <w:r w:rsidRPr="00EE6B30">
        <w:rPr>
          <w:rFonts w:ascii="Times New Roman" w:eastAsia="Malgun Gothic" w:hAnsi="Times New Roman" w:cs="Times New Roman"/>
          <w:lang w:val="es-CL"/>
        </w:rPr>
        <w:t xml:space="preserve"> las posibilidades de elección por parte de los estudiantes, </w:t>
      </w:r>
      <w:r w:rsidRPr="00EE6B30">
        <w:rPr>
          <w:rFonts w:ascii="Times New Roman" w:eastAsia="Malgun Gothic" w:hAnsi="Times New Roman" w:cs="Times New Roman"/>
          <w:lang w:val="es-CL"/>
        </w:rPr>
        <w:t xml:space="preserve">de alguna manera </w:t>
      </w:r>
      <w:r w:rsidRPr="00EE6B30">
        <w:rPr>
          <w:rFonts w:ascii="Times New Roman" w:eastAsia="Malgun Gothic" w:hAnsi="Times New Roman" w:cs="Times New Roman"/>
          <w:lang w:val="es-CL"/>
        </w:rPr>
        <w:lastRenderedPageBreak/>
        <w:t>obligando</w:t>
      </w:r>
      <w:r w:rsidRPr="00EE6B30">
        <w:rPr>
          <w:rFonts w:ascii="Times New Roman" w:eastAsia="Malgun Gothic" w:hAnsi="Times New Roman" w:cs="Times New Roman"/>
          <w:lang w:val="es-CL"/>
        </w:rPr>
        <w:t xml:space="preserve"> </w:t>
      </w:r>
      <w:r w:rsidRPr="00EE6B30">
        <w:rPr>
          <w:rFonts w:ascii="Times New Roman" w:eastAsia="Malgun Gothic" w:hAnsi="Times New Roman" w:cs="Times New Roman"/>
          <w:lang w:val="es-CL"/>
        </w:rPr>
        <w:t>a</w:t>
      </w:r>
      <w:r w:rsidRPr="00EE6B30">
        <w:rPr>
          <w:rFonts w:ascii="Times New Roman" w:eastAsia="Malgun Gothic" w:hAnsi="Times New Roman" w:cs="Times New Roman"/>
          <w:lang w:val="es-CL"/>
        </w:rPr>
        <w:t xml:space="preserve"> </w:t>
      </w:r>
      <w:r w:rsidRPr="00EE6B30">
        <w:rPr>
          <w:rFonts w:ascii="Times New Roman" w:eastAsia="Malgun Gothic" w:hAnsi="Times New Roman" w:cs="Times New Roman"/>
          <w:lang w:val="es-CL"/>
        </w:rPr>
        <w:t xml:space="preserve">que </w:t>
      </w:r>
      <w:r w:rsidRPr="00EE6B30">
        <w:rPr>
          <w:rFonts w:ascii="Times New Roman" w:eastAsia="Malgun Gothic" w:hAnsi="Times New Roman" w:cs="Times New Roman"/>
          <w:lang w:val="es-CL"/>
        </w:rPr>
        <w:t>los estudiantes del séptimo decil vayan a CFT e IP, sin atender su elección y talento. Puede resu</w:t>
      </w:r>
      <w:bookmarkStart w:id="0" w:name="_GoBack"/>
      <w:bookmarkEnd w:id="0"/>
      <w:r w:rsidRPr="00EE6B30">
        <w:rPr>
          <w:rFonts w:ascii="Times New Roman" w:eastAsia="Malgun Gothic" w:hAnsi="Times New Roman" w:cs="Times New Roman"/>
          <w:lang w:val="es-CL"/>
        </w:rPr>
        <w:t>ltar una política segregadora si no hay otras medidas que fortalezcan realmente el subsistema técnico profesional.</w:t>
      </w:r>
      <w:r w:rsidRPr="00EE6B30">
        <w:rPr>
          <w:rFonts w:ascii="Times New Roman" w:eastAsia="Malgun Gothic" w:hAnsi="Times New Roman" w:cs="Times New Roman"/>
          <w:lang w:val="es-CL"/>
        </w:rPr>
        <w:t xml:space="preserve"> </w:t>
      </w:r>
    </w:p>
    <w:p w:rsidR="00F53D61" w:rsidRPr="00EE6B30" w:rsidRDefault="00F53D61" w:rsidP="00EE6B30">
      <w:pPr>
        <w:pStyle w:val="ListParagraph"/>
        <w:numPr>
          <w:ilvl w:val="0"/>
          <w:numId w:val="2"/>
        </w:numPr>
        <w:tabs>
          <w:tab w:val="left" w:pos="740"/>
        </w:tabs>
        <w:spacing w:line="480" w:lineRule="auto"/>
        <w:jc w:val="both"/>
        <w:rPr>
          <w:rFonts w:ascii="Times New Roman" w:eastAsia="Malgun Gothic" w:hAnsi="Times New Roman" w:cs="Times New Roman"/>
          <w:lang w:val="es-CL"/>
        </w:rPr>
      </w:pPr>
      <w:r w:rsidRPr="00EE6B30">
        <w:rPr>
          <w:rFonts w:ascii="Times New Roman" w:eastAsia="Malgun Gothic" w:hAnsi="Times New Roman" w:cs="Times New Roman"/>
          <w:lang w:val="es-CL"/>
        </w:rPr>
        <w:t xml:space="preserve">Una alternativa es avanzar en el 7mo decil </w:t>
      </w:r>
      <w:r w:rsidR="00027CEF" w:rsidRPr="00EE6B30">
        <w:rPr>
          <w:rFonts w:ascii="Times New Roman" w:eastAsia="Malgun Gothic" w:hAnsi="Times New Roman" w:cs="Times New Roman"/>
          <w:lang w:val="es-CL"/>
        </w:rPr>
        <w:t xml:space="preserve">en </w:t>
      </w:r>
      <w:proofErr w:type="spellStart"/>
      <w:r w:rsidRPr="00EE6B30">
        <w:rPr>
          <w:rFonts w:ascii="Times New Roman" w:eastAsia="Malgun Gothic" w:hAnsi="Times New Roman" w:cs="Times New Roman"/>
          <w:lang w:val="es-CL"/>
        </w:rPr>
        <w:t>Ues</w:t>
      </w:r>
      <w:proofErr w:type="spellEnd"/>
      <w:r w:rsidRPr="00EE6B30">
        <w:rPr>
          <w:rFonts w:ascii="Times New Roman" w:eastAsia="Malgun Gothic" w:hAnsi="Times New Roman" w:cs="Times New Roman"/>
          <w:lang w:val="es-CL"/>
        </w:rPr>
        <w:t xml:space="preserve"> y TP</w:t>
      </w:r>
      <w:r w:rsidR="00027CEF" w:rsidRPr="00EE6B30">
        <w:rPr>
          <w:rFonts w:ascii="Times New Roman" w:eastAsia="Malgun Gothic" w:hAnsi="Times New Roman" w:cs="Times New Roman"/>
          <w:lang w:val="es-CL"/>
        </w:rPr>
        <w:t xml:space="preserve"> (recordemos que estamos hablando de un ingreso promedio per cápita de $193.105 a $250.663</w:t>
      </w:r>
      <w:r w:rsidRPr="00EE6B30">
        <w:rPr>
          <w:rFonts w:ascii="Times New Roman" w:eastAsia="Malgun Gothic" w:hAnsi="Times New Roman" w:cs="Times New Roman"/>
          <w:lang w:val="es-CL"/>
        </w:rPr>
        <w:t>)</w:t>
      </w:r>
      <w:r w:rsidRPr="00EE6B30">
        <w:rPr>
          <w:rFonts w:ascii="Times New Roman" w:eastAsia="Malgun Gothic" w:hAnsi="Times New Roman" w:cs="Times New Roman"/>
          <w:lang w:val="es-CL"/>
        </w:rPr>
        <w:t xml:space="preserve">, y empujar al sector TP mediante otras estrategias. </w:t>
      </w:r>
    </w:p>
    <w:p w:rsidR="008217BC" w:rsidRPr="00EE6B30" w:rsidRDefault="008217BC" w:rsidP="00EE6B30">
      <w:pPr>
        <w:pStyle w:val="ListParagraph"/>
        <w:numPr>
          <w:ilvl w:val="0"/>
          <w:numId w:val="2"/>
        </w:numPr>
        <w:tabs>
          <w:tab w:val="left" w:pos="740"/>
        </w:tabs>
        <w:spacing w:line="480" w:lineRule="auto"/>
        <w:jc w:val="both"/>
        <w:rPr>
          <w:rFonts w:ascii="Times New Roman" w:eastAsia="Malgun Gothic" w:hAnsi="Times New Roman" w:cs="Times New Roman"/>
          <w:lang w:val="es-CL"/>
        </w:rPr>
      </w:pPr>
      <w:r w:rsidRPr="00EE6B30">
        <w:rPr>
          <w:rFonts w:ascii="Times New Roman" w:eastAsia="Malgun Gothic" w:hAnsi="Times New Roman" w:cs="Times New Roman"/>
          <w:lang w:val="es-CL"/>
        </w:rPr>
        <w:t>Po</w:t>
      </w:r>
      <w:r w:rsidR="00EE6B30">
        <w:rPr>
          <w:rFonts w:ascii="Times New Roman" w:eastAsia="Malgun Gothic" w:hAnsi="Times New Roman" w:cs="Times New Roman"/>
          <w:lang w:val="es-CL"/>
        </w:rPr>
        <w:t>r</w:t>
      </w:r>
      <w:r w:rsidRPr="00EE6B30">
        <w:rPr>
          <w:rFonts w:ascii="Times New Roman" w:eastAsia="Malgun Gothic" w:hAnsi="Times New Roman" w:cs="Times New Roman"/>
          <w:lang w:val="es-CL"/>
        </w:rPr>
        <w:t xml:space="preserve"> último, cabe señalar que este proyecto debe abordarse de forma orgánica con el proyecto que modifica el CAE (“SIFS”) para evitar contradicciones entre las políticas de financiamiento de la educación superior. </w:t>
      </w:r>
    </w:p>
    <w:p w:rsidR="00751C37" w:rsidRPr="00EE6B30" w:rsidRDefault="00751C37" w:rsidP="00EE6B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751C37" w:rsidRPr="00EE6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9C8" w:rsidRDefault="009959C8" w:rsidP="00443AA9">
      <w:pPr>
        <w:spacing w:after="0" w:line="240" w:lineRule="auto"/>
      </w:pPr>
      <w:r>
        <w:separator/>
      </w:r>
    </w:p>
  </w:endnote>
  <w:endnote w:type="continuationSeparator" w:id="0">
    <w:p w:rsidR="009959C8" w:rsidRDefault="009959C8" w:rsidP="0044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9C8" w:rsidRDefault="009959C8" w:rsidP="00443AA9">
      <w:pPr>
        <w:spacing w:after="0" w:line="240" w:lineRule="auto"/>
      </w:pPr>
      <w:r>
        <w:separator/>
      </w:r>
    </w:p>
  </w:footnote>
  <w:footnote w:type="continuationSeparator" w:id="0">
    <w:p w:rsidR="009959C8" w:rsidRDefault="009959C8" w:rsidP="00443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07018"/>
    <w:multiLevelType w:val="hybridMultilevel"/>
    <w:tmpl w:val="15E41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D2F66"/>
    <w:multiLevelType w:val="hybridMultilevel"/>
    <w:tmpl w:val="51245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01B8C"/>
    <w:multiLevelType w:val="hybridMultilevel"/>
    <w:tmpl w:val="3FC26DBC"/>
    <w:lvl w:ilvl="0" w:tplc="235265CC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1A7B13"/>
    <w:multiLevelType w:val="hybridMultilevel"/>
    <w:tmpl w:val="F7787D2A"/>
    <w:lvl w:ilvl="0" w:tplc="CB0E8E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61"/>
    <w:rsid w:val="00027CEF"/>
    <w:rsid w:val="00171FF1"/>
    <w:rsid w:val="00443AA9"/>
    <w:rsid w:val="00751C37"/>
    <w:rsid w:val="008217BC"/>
    <w:rsid w:val="009959C8"/>
    <w:rsid w:val="00EE6B30"/>
    <w:rsid w:val="00F5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732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D61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/>
    </w:rPr>
  </w:style>
  <w:style w:type="paragraph" w:styleId="Header">
    <w:name w:val="header"/>
    <w:basedOn w:val="Normal"/>
    <w:link w:val="HeaderChar"/>
    <w:uiPriority w:val="99"/>
    <w:unhideWhenUsed/>
    <w:rsid w:val="00443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AA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43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AA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2019-01-15T14:00:00Z</dcterms:created>
  <dcterms:modified xsi:type="dcterms:W3CDTF">2019-01-15T14:04:00Z</dcterms:modified>
</cp:coreProperties>
</file>