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2454D0" w:rsidRPr="00544DAD" w:rsidRDefault="00F65457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  <w:b/>
        </w:rPr>
        <w:t>REF</w:t>
      </w:r>
      <w:r w:rsidR="0008526C" w:rsidRPr="00544DAD">
        <w:rPr>
          <w:rFonts w:ascii="Microsoft YaHei Light" w:eastAsia="Microsoft YaHei Light" w:hAnsi="Microsoft YaHei Light"/>
          <w:b/>
        </w:rPr>
        <w:t>.</w:t>
      </w:r>
      <w:r w:rsidRPr="00544DAD">
        <w:rPr>
          <w:rFonts w:ascii="Microsoft YaHei Light" w:eastAsia="Microsoft YaHei Light" w:hAnsi="Microsoft YaHei Light"/>
          <w:b/>
        </w:rPr>
        <w:t xml:space="preserve"> </w:t>
      </w:r>
      <w:r w:rsidR="00C16383" w:rsidRPr="00544DAD">
        <w:rPr>
          <w:rFonts w:ascii="Microsoft YaHei Light" w:eastAsia="Microsoft YaHei Light" w:hAnsi="Microsoft YaHei Light"/>
        </w:rPr>
        <w:t xml:space="preserve">Modifica la ley </w:t>
      </w:r>
      <w:proofErr w:type="spellStart"/>
      <w:r w:rsidR="00C16383" w:rsidRPr="00544DAD">
        <w:rPr>
          <w:rFonts w:ascii="Microsoft YaHei Light" w:eastAsia="Microsoft YaHei Light" w:hAnsi="Microsoft YaHei Light"/>
        </w:rPr>
        <w:t>N°</w:t>
      </w:r>
      <w:proofErr w:type="spellEnd"/>
      <w:r w:rsidR="00C16383" w:rsidRPr="00544DAD">
        <w:rPr>
          <w:rFonts w:ascii="Microsoft YaHei Light" w:eastAsia="Microsoft YaHei Light" w:hAnsi="Microsoft YaHei Light"/>
        </w:rPr>
        <w:t xml:space="preserve"> 19.300, sobre Bases Generales del Medio Ambiente, con el objeto de establecer restricciones a la tramitación de proyectos en zonas declaradas latentes o saturadas</w:t>
      </w:r>
      <w:r w:rsidR="00C16383" w:rsidRPr="00544DAD">
        <w:rPr>
          <w:rFonts w:ascii="Microsoft YaHei Light" w:eastAsia="Microsoft YaHei Light" w:hAnsi="Microsoft YaHei Light"/>
        </w:rPr>
        <w:t xml:space="preserve">. </w:t>
      </w:r>
      <w:r w:rsidR="00C16383" w:rsidRPr="00544DAD">
        <w:rPr>
          <w:rFonts w:ascii="Microsoft YaHei Light" w:eastAsia="Microsoft YaHei Light" w:hAnsi="Microsoft YaHei Light"/>
        </w:rPr>
        <w:t>Boletín N°11140-12</w:t>
      </w:r>
      <w:r w:rsidR="00C16383" w:rsidRPr="00544DAD">
        <w:rPr>
          <w:rFonts w:ascii="Microsoft YaHei Light" w:eastAsia="Microsoft YaHei Light" w:hAnsi="Microsoft YaHei Light"/>
        </w:rPr>
        <w:t>.-</w:t>
      </w:r>
    </w:p>
    <w:p w:rsidR="00344D72" w:rsidRPr="00544DAD" w:rsidRDefault="00344D72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344D72" w:rsidRPr="00544DAD" w:rsidRDefault="002454D0" w:rsidP="00544DAD">
      <w:pPr>
        <w:spacing w:after="0" w:line="240" w:lineRule="auto"/>
        <w:rPr>
          <w:rFonts w:ascii="Microsoft YaHei Light" w:eastAsia="Microsoft YaHei Light" w:hAnsi="Microsoft YaHei Light"/>
          <w:b/>
        </w:rPr>
      </w:pPr>
      <w:r w:rsidRPr="00544DAD">
        <w:rPr>
          <w:rFonts w:ascii="Microsoft YaHei Light" w:eastAsia="Microsoft YaHei Light" w:hAnsi="Microsoft YaHei Light"/>
          <w:b/>
        </w:rPr>
        <w:t xml:space="preserve">MOCIÓN </w:t>
      </w:r>
      <w:r w:rsidR="00A95A77" w:rsidRPr="00544DAD">
        <w:rPr>
          <w:rFonts w:ascii="Microsoft YaHei Light" w:eastAsia="Microsoft YaHei Light" w:hAnsi="Microsoft YaHei Light"/>
          <w:b/>
        </w:rPr>
        <w:t xml:space="preserve">HHDD: </w:t>
      </w:r>
      <w:r w:rsidR="00344D72" w:rsidRPr="00544DAD">
        <w:rPr>
          <w:rFonts w:ascii="Microsoft YaHei Light" w:eastAsia="Microsoft YaHei Light" w:hAnsi="Microsoft YaHei Light"/>
        </w:rPr>
        <w:t>Paulina Núñez Urrutia</w:t>
      </w:r>
      <w:r w:rsidR="005F43A7">
        <w:rPr>
          <w:rFonts w:ascii="Microsoft YaHei Light" w:eastAsia="Microsoft YaHei Light" w:hAnsi="Microsoft YaHei Light"/>
        </w:rPr>
        <w:t>. En segundo trámite constitucional. Sin urgencia.</w:t>
      </w:r>
    </w:p>
    <w:p w:rsidR="00344D72" w:rsidRPr="00544DAD" w:rsidRDefault="00344D72" w:rsidP="00544DAD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  <w:bookmarkStart w:id="0" w:name="_GoBack"/>
      <w:bookmarkEnd w:id="0"/>
    </w:p>
    <w:p w:rsidR="00026B67" w:rsidRPr="00544DAD" w:rsidRDefault="00B32009" w:rsidP="00544DAD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  <w:r w:rsidRPr="00544DAD">
        <w:rPr>
          <w:rFonts w:ascii="Microsoft YaHei Light" w:eastAsia="Microsoft YaHei Light" w:hAnsi="Microsoft YaHei Light"/>
          <w:b/>
        </w:rPr>
        <w:t>TRAMITACIÓN LEGISLATIVA</w:t>
      </w:r>
      <w:r w:rsidR="004E14A3" w:rsidRPr="00544DAD">
        <w:rPr>
          <w:rFonts w:ascii="Microsoft YaHei Light" w:eastAsia="Microsoft YaHei Light" w:hAnsi="Microsoft YaHei Light"/>
          <w:b/>
        </w:rPr>
        <w:t>:</w:t>
      </w:r>
    </w:p>
    <w:p w:rsidR="000C37F8" w:rsidRPr="00544DAD" w:rsidRDefault="000C37F8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4130"/>
        <w:gridCol w:w="3260"/>
      </w:tblGrid>
      <w:tr w:rsidR="00C16383" w:rsidRPr="00544DAD" w:rsidTr="00B72A90">
        <w:trPr>
          <w:trHeight w:val="403"/>
        </w:trPr>
        <w:tc>
          <w:tcPr>
            <w:tcW w:w="1252" w:type="dxa"/>
            <w:tcBorders>
              <w:top w:val="single" w:sz="4" w:space="0" w:color="A4BED4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09/03/2017</w:t>
            </w:r>
          </w:p>
        </w:tc>
        <w:tc>
          <w:tcPr>
            <w:tcW w:w="4130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Ingreso de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proyecto .</w:t>
            </w:r>
            <w:proofErr w:type="gramEnd"/>
          </w:p>
        </w:tc>
        <w:tc>
          <w:tcPr>
            <w:tcW w:w="3260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14/03/2017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Cuenta de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proyecto .</w:t>
            </w:r>
            <w:proofErr w:type="gramEnd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Pasa a Comisión de Medio Ambiente y Recursos Naturales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13/06/2018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Primer informe de comisión de Recursos Naturales, Bienes Nacionales y Medio Ambiente.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03/07/2018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Cuenta de primer informe de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comisión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10/07/2018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Discusión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general .</w:t>
            </w:r>
            <w:proofErr w:type="gramEnd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Queda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pendiente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19/07/2018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Discusión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general .</w:t>
            </w:r>
            <w:proofErr w:type="gramEnd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Aprobado en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general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19/07/2018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Oficio N°14.092. Remite indicaciones a la Comisión de Medio Ambiente y Recursos Naturales.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16/10/2018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Cuenta de segundo informe de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comisión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16/10/2018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Segundo informe de comisión de Recursos Naturales, Bienes Nacionales y Medio Ambiente.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16/10/2018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Cuenta de segundo informe de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comisión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17/10/2018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Discusión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particular .</w:t>
            </w:r>
            <w:proofErr w:type="gramEnd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Queda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pendiente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lastRenderedPageBreak/>
              <w:t>18/10/2018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Discusión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particular .</w:t>
            </w:r>
            <w:proofErr w:type="gramEnd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Aprobado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18/10/2018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Oficio de ley a Cámara </w:t>
            </w:r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Revisora .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 xml:space="preserve">Primer trámite constitucional / </w:t>
            </w:r>
            <w:proofErr w:type="spellStart"/>
            <w:proofErr w:type="gramStart"/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C.Diputados</w:t>
            </w:r>
            <w:proofErr w:type="spellEnd"/>
            <w:proofErr w:type="gramEnd"/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23/10/2018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Cuenta de proyecto. Pasa a Comisión de Medio Ambiente y Bienes Nacionales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Segundo trámite constitucional / Senado</w:t>
            </w:r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16/01/2019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Primer informe de comisión de Medio Ambiente y Bienes Nacionales.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Segundo trámite constitucional / Senado</w:t>
            </w:r>
          </w:p>
        </w:tc>
      </w:tr>
      <w:tr w:rsidR="00C16383" w:rsidRPr="00544DAD" w:rsidTr="00B72A90">
        <w:trPr>
          <w:trHeight w:val="403"/>
        </w:trPr>
        <w:tc>
          <w:tcPr>
            <w:tcW w:w="1252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jc w:val="center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22/01/2019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Cuenta de primer informe de comisión.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vAlign w:val="bottom"/>
            <w:hideMark/>
          </w:tcPr>
          <w:p w:rsidR="00C16383" w:rsidRPr="00C16383" w:rsidRDefault="00C16383" w:rsidP="00544DAD">
            <w:pPr>
              <w:spacing w:after="0" w:line="240" w:lineRule="auto"/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</w:pPr>
            <w:r w:rsidRPr="00C16383">
              <w:rPr>
                <w:rFonts w:ascii="Microsoft YaHei Light" w:eastAsia="Microsoft YaHei Light" w:hAnsi="Microsoft YaHei Light" w:cs="Helvetica"/>
                <w:color w:val="000000"/>
                <w:lang w:eastAsia="es-ES"/>
              </w:rPr>
              <w:t>Segundo trámite constitucional / Senado</w:t>
            </w:r>
          </w:p>
        </w:tc>
      </w:tr>
    </w:tbl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AF0046" w:rsidRPr="00544DAD" w:rsidRDefault="00AF0046" w:rsidP="00544DAD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  <w:r w:rsidRPr="00544DAD">
        <w:rPr>
          <w:rFonts w:ascii="Microsoft YaHei Light" w:eastAsia="Microsoft YaHei Light" w:hAnsi="Microsoft YaHei Light"/>
          <w:b/>
        </w:rPr>
        <w:t>FUNDAMENTO:</w:t>
      </w:r>
    </w:p>
    <w:p w:rsidR="00816BFF" w:rsidRPr="00544DAD" w:rsidRDefault="00816BFF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344D72" w:rsidP="00544D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 xml:space="preserve">Según la ley 19.300 art. 10, </w:t>
      </w:r>
      <w:r w:rsidR="00C16383" w:rsidRPr="00544DAD">
        <w:rPr>
          <w:rFonts w:ascii="Microsoft YaHei Light" w:eastAsia="Microsoft YaHei Light" w:hAnsi="Microsoft YaHei Light"/>
        </w:rPr>
        <w:t xml:space="preserve">los </w:t>
      </w:r>
      <w:r w:rsidR="00C16383" w:rsidRPr="00544DAD">
        <w:rPr>
          <w:rFonts w:ascii="Microsoft YaHei Light" w:eastAsia="Microsoft YaHei Light" w:hAnsi="Microsoft YaHei Light"/>
          <w:b/>
        </w:rPr>
        <w:t>proyectos industriales o inmobiliarios que se ejecuten en zonas declaradas latentes o saturadas</w:t>
      </w:r>
      <w:r w:rsidR="00C16383" w:rsidRPr="00544DAD">
        <w:rPr>
          <w:rFonts w:ascii="Microsoft YaHei Light" w:eastAsia="Microsoft YaHei Light" w:hAnsi="Microsoft YaHei Light"/>
        </w:rPr>
        <w:t xml:space="preserve"> deberán someterse a evaluación de impacto ambiental, ya sea por Estudio de Impacto Ambiental o Declaración de Impacto Ambiental. Mediante este efecto se incorporan al Sistema de Evaluación Ambiental a proyectos que, de no existir la declaración respectiva, no ingresarían al sistema de conformidad a lo prescrito en los demás literales del artículo 10.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  <w:b/>
        </w:rPr>
      </w:pPr>
    </w:p>
    <w:p w:rsidR="00C16383" w:rsidRPr="00544DAD" w:rsidRDefault="00C16383" w:rsidP="00544D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 xml:space="preserve">Sin embargo, la legislación no contempló una regulación ni efectos para el </w:t>
      </w:r>
      <w:r w:rsidRPr="00544DAD">
        <w:rPr>
          <w:rFonts w:ascii="Microsoft YaHei Light" w:eastAsia="Microsoft YaHei Light" w:hAnsi="Microsoft YaHei Light"/>
          <w:b/>
        </w:rPr>
        <w:t>periodo que media entre la declaración y la entrada en vigencia del plan de descontaminación</w:t>
      </w:r>
      <w:r w:rsidRPr="00544DAD">
        <w:rPr>
          <w:rFonts w:ascii="Microsoft YaHei Light" w:eastAsia="Microsoft YaHei Light" w:hAnsi="Microsoft YaHei Light"/>
        </w:rPr>
        <w:t xml:space="preserve"> para los proyectos que, de manera regular, deben someterse a evaluación de impacto ambiental.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344D72" w:rsidP="00544D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 xml:space="preserve">Por tal razón, </w:t>
      </w:r>
      <w:r w:rsidR="00C16383" w:rsidRPr="00544DAD">
        <w:rPr>
          <w:rFonts w:ascii="Microsoft YaHei Light" w:eastAsia="Microsoft YaHei Light" w:hAnsi="Microsoft YaHei Light"/>
          <w:b/>
        </w:rPr>
        <w:t>urge elevar las exigencias de la aprobación ambiental de proyectos que se ubican en zonas saturadas o latentes</w:t>
      </w:r>
      <w:r w:rsidR="00C16383" w:rsidRPr="00544DAD">
        <w:rPr>
          <w:rFonts w:ascii="Microsoft YaHei Light" w:eastAsia="Microsoft YaHei Light" w:hAnsi="Microsoft YaHei Light"/>
        </w:rPr>
        <w:t xml:space="preserve"> a fin de cumplir con el mandato constitucional de asegurar a todas las personas el derecho a vivir en un medio ambiente libre de contaminación, así como de las demás normas legales que ordenan el resguardo del medio ambiente, de los recursos naturales y la biodiversidad, así como la salud de las personas.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C16383" w:rsidP="00544DA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 xml:space="preserve">A este efecto, </w:t>
      </w:r>
      <w:r w:rsidR="00344D72" w:rsidRPr="00544DAD">
        <w:rPr>
          <w:rFonts w:ascii="Microsoft YaHei Light" w:eastAsia="Microsoft YaHei Light" w:hAnsi="Microsoft YaHei Light"/>
        </w:rPr>
        <w:t xml:space="preserve">la moción propone </w:t>
      </w:r>
      <w:r w:rsidRPr="00544DAD">
        <w:rPr>
          <w:rFonts w:ascii="Microsoft YaHei Light" w:eastAsia="Microsoft YaHei Light" w:hAnsi="Microsoft YaHei Light"/>
        </w:rPr>
        <w:t xml:space="preserve">un artículo único mediante el cual se incorpora un nuevo inciso segundo al artículo 46 de la Ley de Bases Generales del Medio Ambiente que establece diversas </w:t>
      </w:r>
      <w:r w:rsidRPr="00544DAD">
        <w:rPr>
          <w:rFonts w:ascii="Microsoft YaHei Light" w:eastAsia="Microsoft YaHei Light" w:hAnsi="Microsoft YaHei Light"/>
          <w:b/>
        </w:rPr>
        <w:t xml:space="preserve">reglas para el periodo comprendido entre la </w:t>
      </w:r>
      <w:r w:rsidRPr="00544DAD">
        <w:rPr>
          <w:rFonts w:ascii="Microsoft YaHei Light" w:eastAsia="Microsoft YaHei Light" w:hAnsi="Microsoft YaHei Light"/>
          <w:b/>
        </w:rPr>
        <w:lastRenderedPageBreak/>
        <w:t>declaración de un área como zona saturada o latente y el decreto que establece el plan de descontaminación o prevención respectivo.</w:t>
      </w:r>
      <w:r w:rsidRPr="00544DAD">
        <w:rPr>
          <w:rFonts w:ascii="Microsoft YaHei Light" w:eastAsia="Microsoft YaHei Light" w:hAnsi="Microsoft YaHei Light"/>
        </w:rPr>
        <w:t xml:space="preserve"> 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B87AED" w:rsidRPr="00544DAD" w:rsidRDefault="00AF0046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  <w:r w:rsidRPr="00544DAD">
        <w:rPr>
          <w:rFonts w:ascii="Microsoft YaHei Light" w:eastAsia="Microsoft YaHei Light" w:hAnsi="Microsoft YaHei Light" w:cs="Arial"/>
          <w:b/>
          <w:lang w:val="es-MX"/>
        </w:rPr>
        <w:t>PROYECTO DE LEY</w:t>
      </w:r>
      <w:r w:rsidR="00B87AED" w:rsidRPr="00544DAD">
        <w:rPr>
          <w:rFonts w:ascii="Microsoft YaHei Light" w:eastAsia="Microsoft YaHei Light" w:hAnsi="Microsoft YaHei Light" w:cs="Arial"/>
          <w:b/>
          <w:lang w:val="es-MX"/>
        </w:rPr>
        <w:t>:</w:t>
      </w:r>
    </w:p>
    <w:p w:rsidR="00844D6D" w:rsidRPr="00544DAD" w:rsidRDefault="00844D6D" w:rsidP="00544DAD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>ARTÍCULO ÚNICO: Incorpórese un nuevo inciso segundo al artículo 46 de la Ley Nº19.300 sobre Bases Generales del Medio Ambiente, del siguiente tenor: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  <w:i/>
        </w:rPr>
      </w:pPr>
      <w:r w:rsidRPr="00544DAD">
        <w:rPr>
          <w:rFonts w:ascii="Microsoft YaHei Light" w:eastAsia="Microsoft YaHei Light" w:hAnsi="Microsoft YaHei Light"/>
        </w:rPr>
        <w:t>“</w:t>
      </w:r>
      <w:r w:rsidRPr="00544DAD">
        <w:rPr>
          <w:rFonts w:ascii="Microsoft YaHei Light" w:eastAsia="Microsoft YaHei Light" w:hAnsi="Microsoft YaHei Light"/>
          <w:i/>
        </w:rPr>
        <w:t>Sin embargo, mientras no se haya decretado el respectivo plan de descontaminación o prevención, todo proyecto ubicado dentro del área respectiva se sujetará a las siguientes reglas: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  <w:i/>
        </w:rPr>
      </w:pPr>
    </w:p>
    <w:p w:rsidR="00C16383" w:rsidRPr="00544DAD" w:rsidRDefault="00C16383" w:rsidP="00544D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icrosoft YaHei Light" w:eastAsia="Microsoft YaHei Light" w:hAnsi="Microsoft YaHei Light"/>
          <w:i/>
        </w:rPr>
      </w:pPr>
      <w:r w:rsidRPr="00544DAD">
        <w:rPr>
          <w:rFonts w:ascii="Microsoft YaHei Light" w:eastAsia="Microsoft YaHei Light" w:hAnsi="Microsoft YaHei Light"/>
          <w:i/>
        </w:rPr>
        <w:t>Decretada la zona respectiva como latente o saturada, todo proyecto requerirá de la elaboración de un Estudio de Impacto Ambiental;</w:t>
      </w:r>
    </w:p>
    <w:p w:rsidR="00C16383" w:rsidRPr="00544DAD" w:rsidRDefault="00C16383" w:rsidP="00544D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icrosoft YaHei Light" w:eastAsia="Microsoft YaHei Light" w:hAnsi="Microsoft YaHei Light"/>
          <w:i/>
        </w:rPr>
      </w:pPr>
      <w:r w:rsidRPr="00544DAD">
        <w:rPr>
          <w:rFonts w:ascii="Microsoft YaHei Light" w:eastAsia="Microsoft YaHei Light" w:hAnsi="Microsoft YaHei Light"/>
          <w:i/>
        </w:rPr>
        <w:t>En las zonas decretadas como saturadas, los proyectos que generen o presenten los efectos, características o circunstancias señaladas en el artículo 11 no podrán ser admitidos a tramitación;</w:t>
      </w:r>
    </w:p>
    <w:p w:rsidR="00C16383" w:rsidRPr="00544DAD" w:rsidRDefault="00C16383" w:rsidP="00544D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icrosoft YaHei Light" w:eastAsia="Microsoft YaHei Light" w:hAnsi="Microsoft YaHei Light"/>
          <w:i/>
        </w:rPr>
      </w:pPr>
      <w:r w:rsidRPr="00544DAD">
        <w:rPr>
          <w:rFonts w:ascii="Microsoft YaHei Light" w:eastAsia="Microsoft YaHei Light" w:hAnsi="Microsoft YaHei Light"/>
          <w:i/>
        </w:rPr>
        <w:t>Lo dispuesto en las reglas precedentes no obstará a lo dispuesto en el literal “h” del artículo 10.</w:t>
      </w: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C16383" w:rsidRPr="00544DAD" w:rsidRDefault="00C16383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>ARTÍCULO TRANSITORIO: Las disposiciones contenidas en el Artículo Único serán aplicables a las zonas ya declaradas como latentes o saturadas.</w:t>
      </w:r>
    </w:p>
    <w:p w:rsidR="00344D72" w:rsidRDefault="00344D72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</w:p>
    <w:p w:rsidR="00544DAD" w:rsidRPr="00544DAD" w:rsidRDefault="00544DAD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</w:p>
    <w:p w:rsidR="00B87AED" w:rsidRPr="00544DAD" w:rsidRDefault="00B87AED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  <w:lang w:val="es-MX"/>
        </w:rPr>
      </w:pPr>
      <w:r w:rsidRPr="00544DAD">
        <w:rPr>
          <w:rFonts w:ascii="Microsoft YaHei Light" w:eastAsia="Microsoft YaHei Light" w:hAnsi="Microsoft YaHei Light" w:cs="Arial"/>
          <w:b/>
          <w:lang w:val="es-MX"/>
        </w:rPr>
        <w:t>COMENTARIO:</w:t>
      </w:r>
    </w:p>
    <w:p w:rsidR="00103E7F" w:rsidRPr="00544DAD" w:rsidRDefault="00103E7F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</w:rPr>
      </w:pPr>
    </w:p>
    <w:p w:rsidR="00544DAD" w:rsidRP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 xml:space="preserve">Tal como subraya la presente moción parlamentaria, la legislación actual permite </w:t>
      </w:r>
      <w:r w:rsidRPr="00544DAD">
        <w:rPr>
          <w:rFonts w:ascii="Microsoft YaHei Light" w:eastAsia="Microsoft YaHei Light" w:hAnsi="Microsoft YaHei Light"/>
        </w:rPr>
        <w:t>la paradoja de que, ante la ausencia de un plan de descontaminación o prevención, solo se elevan los requisitos para proyectos potencialmente inocuos, mientras que para aquellos que la ley califica como capaces de generar impacto ambiental</w:t>
      </w:r>
      <w:r w:rsidRPr="00544DAD">
        <w:rPr>
          <w:rFonts w:ascii="Microsoft YaHei Light" w:eastAsia="Microsoft YaHei Light" w:hAnsi="Microsoft YaHei Light"/>
        </w:rPr>
        <w:t>,</w:t>
      </w:r>
      <w:r w:rsidRPr="00544DAD">
        <w:rPr>
          <w:rFonts w:ascii="Microsoft YaHei Light" w:eastAsia="Microsoft YaHei Light" w:hAnsi="Microsoft YaHei Light"/>
        </w:rPr>
        <w:t xml:space="preserve"> los requisitos siguen siendo los mismos que si no hubiera declaratoria de saturación o contaminación.</w:t>
      </w:r>
    </w:p>
    <w:p w:rsidR="00544DAD" w:rsidRP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544DAD" w:rsidRP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  <w:r w:rsidRPr="00544DAD">
        <w:rPr>
          <w:rFonts w:ascii="Microsoft YaHei Light" w:eastAsia="Microsoft YaHei Light" w:hAnsi="Microsoft YaHei Light"/>
        </w:rPr>
        <w:t>En este sentido, consideramos necesaria la modificación legislativa que se ha propuesto.</w:t>
      </w:r>
    </w:p>
    <w:p w:rsidR="00544DAD" w:rsidRP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544DAD" w:rsidRPr="00544DAD" w:rsidRDefault="00544DAD" w:rsidP="00544DAD">
      <w:pPr>
        <w:spacing w:after="0" w:line="240" w:lineRule="auto"/>
        <w:jc w:val="both"/>
        <w:rPr>
          <w:rFonts w:ascii="Microsoft YaHei Light" w:eastAsia="Microsoft YaHei Light" w:hAnsi="Microsoft YaHei Light"/>
        </w:rPr>
      </w:pPr>
    </w:p>
    <w:p w:rsidR="00544DAD" w:rsidRPr="00544DAD" w:rsidRDefault="00544DAD" w:rsidP="00544DAD">
      <w:pPr>
        <w:tabs>
          <w:tab w:val="left" w:pos="1418"/>
        </w:tabs>
        <w:spacing w:after="0" w:line="240" w:lineRule="auto"/>
        <w:jc w:val="both"/>
        <w:rPr>
          <w:rFonts w:ascii="Microsoft YaHei Light" w:eastAsia="Microsoft YaHei Light" w:hAnsi="Microsoft YaHei Light" w:cs="Arial"/>
          <w:b/>
        </w:rPr>
      </w:pPr>
    </w:p>
    <w:sectPr w:rsidR="00544DAD" w:rsidRPr="00544D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97" w:rsidRDefault="00500C97" w:rsidP="00F65457">
      <w:pPr>
        <w:spacing w:after="0" w:line="240" w:lineRule="auto"/>
      </w:pPr>
      <w:r>
        <w:separator/>
      </w:r>
    </w:p>
  </w:endnote>
  <w:endnote w:type="continuationSeparator" w:id="0">
    <w:p w:rsidR="00500C97" w:rsidRDefault="00500C97" w:rsidP="00F6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97" w:rsidRDefault="00500C97" w:rsidP="00F65457">
      <w:pPr>
        <w:spacing w:after="0" w:line="240" w:lineRule="auto"/>
      </w:pPr>
      <w:r>
        <w:separator/>
      </w:r>
    </w:p>
  </w:footnote>
  <w:footnote w:type="continuationSeparator" w:id="0">
    <w:p w:rsidR="00500C97" w:rsidRDefault="00500C97" w:rsidP="00F6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57" w:rsidRPr="00B32009" w:rsidRDefault="00500C97" w:rsidP="00561790">
    <w:pPr>
      <w:pBdr>
        <w:bottom w:val="single" w:sz="4" w:space="1" w:color="auto"/>
      </w:pBdr>
      <w:jc w:val="center"/>
      <w:rPr>
        <w:rFonts w:ascii="Microsoft YaHei Light" w:eastAsia="Microsoft YaHei Light" w:hAnsi="Microsoft YaHei Light" w:cs="Arial"/>
        <w:b/>
        <w:i/>
        <w:sz w:val="24"/>
        <w:szCs w:val="24"/>
      </w:rPr>
    </w:pPr>
    <w:sdt>
      <w:sdtPr>
        <w:rPr>
          <w:rFonts w:ascii="Microsoft YaHei Light" w:eastAsia="Microsoft YaHei Light" w:hAnsi="Microsoft YaHei Light"/>
          <w:b/>
          <w:i/>
          <w:sz w:val="24"/>
          <w:szCs w:val="24"/>
        </w:rPr>
        <w:id w:val="-1374769753"/>
        <w:docPartObj>
          <w:docPartGallery w:val="Page Numbers (Margins)"/>
          <w:docPartUnique/>
        </w:docPartObj>
      </w:sdtPr>
      <w:sdtEndPr/>
      <w:sdtContent>
        <w:r w:rsidR="00F65457" w:rsidRPr="00B32009">
          <w:rPr>
            <w:rFonts w:ascii="Microsoft YaHei Light" w:eastAsia="Microsoft YaHei Light" w:hAnsi="Microsoft YaHei Light"/>
            <w:b/>
            <w:i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926349" wp14:editId="67F7940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lecha: a l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457" w:rsidRDefault="00F65457" w:rsidP="00F6545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65457" w:rsidRDefault="00F65457" w:rsidP="00F6545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192634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" o:allowincell="f" adj="13609,5370" fillcolor="#c0504d" stroked="f" strokecolor="#5c83b4">
                  <v:textbox inset=",0,,0">
                    <w:txbxContent>
                      <w:p w:rsidR="00F65457" w:rsidRDefault="00F65457" w:rsidP="00F6545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65457" w:rsidRDefault="00F65457" w:rsidP="00F65457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Minuta </w:t>
    </w:r>
    <w:r w:rsidR="00B32009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proyecto de ley </w:t>
    </w:r>
    <w:r w:rsidR="00B32009" w:rsidRPr="00B32009">
      <w:rPr>
        <w:rFonts w:ascii="Microsoft YaHei Light" w:eastAsia="Microsoft YaHei Light" w:hAnsi="Microsoft YaHei Light" w:cs="Arial"/>
        <w:b/>
        <w:i/>
        <w:sz w:val="24"/>
        <w:szCs w:val="24"/>
      </w:rPr>
      <w:t>Boletín N°</w:t>
    </w:r>
    <w:r w:rsidR="002454D0">
      <w:rPr>
        <w:rFonts w:ascii="Microsoft YaHei Light" w:eastAsia="Microsoft YaHei Light" w:hAnsi="Microsoft YaHei Light" w:cs="Arial"/>
        <w:b/>
        <w:i/>
        <w:sz w:val="24"/>
        <w:szCs w:val="24"/>
      </w:rPr>
      <w:t>11140</w:t>
    </w:r>
    <w:r w:rsidR="00B32009" w:rsidRPr="00B32009">
      <w:rPr>
        <w:rFonts w:ascii="Microsoft YaHei Light" w:eastAsia="Microsoft YaHei Light" w:hAnsi="Microsoft YaHei Light" w:cs="Arial"/>
        <w:b/>
        <w:i/>
        <w:sz w:val="24"/>
        <w:szCs w:val="24"/>
      </w:rPr>
      <w:t xml:space="preserve">-12 / </w:t>
    </w:r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CPBR – </w:t>
    </w:r>
    <w:r w:rsidR="00B32009">
      <w:rPr>
        <w:rFonts w:ascii="Microsoft YaHei Light" w:eastAsia="Microsoft YaHei Light" w:hAnsi="Microsoft YaHei Light"/>
        <w:b/>
        <w:i/>
        <w:sz w:val="24"/>
        <w:szCs w:val="24"/>
      </w:rPr>
      <w:t>febrero</w:t>
    </w:r>
    <w:r w:rsidR="00F65457" w:rsidRPr="00B32009">
      <w:rPr>
        <w:rFonts w:ascii="Microsoft YaHei Light" w:eastAsia="Microsoft YaHei Light" w:hAnsi="Microsoft YaHei Light"/>
        <w:b/>
        <w:i/>
        <w:sz w:val="24"/>
        <w:szCs w:val="24"/>
      </w:rPr>
      <w:t xml:space="preserve"> 2019</w:t>
    </w:r>
  </w:p>
  <w:p w:rsidR="00F65457" w:rsidRDefault="00F6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4F9"/>
    <w:multiLevelType w:val="hybridMultilevel"/>
    <w:tmpl w:val="4F7489CA"/>
    <w:lvl w:ilvl="0" w:tplc="30348E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D42BE9"/>
    <w:multiLevelType w:val="hybridMultilevel"/>
    <w:tmpl w:val="E0A46F4C"/>
    <w:lvl w:ilvl="0" w:tplc="4262FE78">
      <w:start w:val="12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992"/>
    <w:multiLevelType w:val="hybridMultilevel"/>
    <w:tmpl w:val="E3E09448"/>
    <w:lvl w:ilvl="0" w:tplc="328453DE">
      <w:start w:val="1"/>
      <w:numFmt w:val="decimal"/>
      <w:lvlText w:val="%1)"/>
      <w:lvlJc w:val="left"/>
      <w:pPr>
        <w:ind w:left="720" w:hanging="360"/>
      </w:pPr>
      <w:rPr>
        <w:rFonts w:cs="Courier New" w:hint="eastAsia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392"/>
    <w:multiLevelType w:val="hybridMultilevel"/>
    <w:tmpl w:val="2F68F39C"/>
    <w:lvl w:ilvl="0" w:tplc="BD9EE218">
      <w:start w:val="2"/>
      <w:numFmt w:val="bullet"/>
      <w:lvlText w:val=""/>
      <w:lvlJc w:val="left"/>
      <w:pPr>
        <w:ind w:left="720" w:hanging="360"/>
      </w:pPr>
      <w:rPr>
        <w:rFonts w:ascii="Symbol" w:eastAsia="Microsoft YaHei Light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11AB"/>
    <w:multiLevelType w:val="hybridMultilevel"/>
    <w:tmpl w:val="BB182D42"/>
    <w:lvl w:ilvl="0" w:tplc="09EA9A7A">
      <w:start w:val="259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84E7C"/>
    <w:multiLevelType w:val="hybridMultilevel"/>
    <w:tmpl w:val="E0DC01B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C90"/>
    <w:multiLevelType w:val="hybridMultilevel"/>
    <w:tmpl w:val="BF00E5CE"/>
    <w:lvl w:ilvl="0" w:tplc="D540B7D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1959"/>
    <w:multiLevelType w:val="hybridMultilevel"/>
    <w:tmpl w:val="214EF31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05F77"/>
    <w:multiLevelType w:val="hybridMultilevel"/>
    <w:tmpl w:val="B53652FC"/>
    <w:lvl w:ilvl="0" w:tplc="41666AA4">
      <w:start w:val="1"/>
      <w:numFmt w:val="decimal"/>
      <w:lvlText w:val="%1)"/>
      <w:lvlJc w:val="left"/>
      <w:pPr>
        <w:ind w:left="1821" w:hanging="405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57"/>
    <w:rsid w:val="00026B67"/>
    <w:rsid w:val="0008526C"/>
    <w:rsid w:val="000C37F8"/>
    <w:rsid w:val="000D2258"/>
    <w:rsid w:val="00103E7F"/>
    <w:rsid w:val="001B3775"/>
    <w:rsid w:val="002018D4"/>
    <w:rsid w:val="002454D0"/>
    <w:rsid w:val="00293F9F"/>
    <w:rsid w:val="003050B5"/>
    <w:rsid w:val="00341DAF"/>
    <w:rsid w:val="00344D72"/>
    <w:rsid w:val="003F2F46"/>
    <w:rsid w:val="00434C2A"/>
    <w:rsid w:val="00435536"/>
    <w:rsid w:val="0044153B"/>
    <w:rsid w:val="004A0EE2"/>
    <w:rsid w:val="004D100D"/>
    <w:rsid w:val="004E14A3"/>
    <w:rsid w:val="00500C97"/>
    <w:rsid w:val="00517FD1"/>
    <w:rsid w:val="00544DAD"/>
    <w:rsid w:val="00561790"/>
    <w:rsid w:val="00592E0D"/>
    <w:rsid w:val="005F43A7"/>
    <w:rsid w:val="006720CA"/>
    <w:rsid w:val="007F2680"/>
    <w:rsid w:val="00811690"/>
    <w:rsid w:val="00816BFF"/>
    <w:rsid w:val="00844D6D"/>
    <w:rsid w:val="0087337B"/>
    <w:rsid w:val="008B5269"/>
    <w:rsid w:val="008D221D"/>
    <w:rsid w:val="009136D0"/>
    <w:rsid w:val="00934EBB"/>
    <w:rsid w:val="00A95A77"/>
    <w:rsid w:val="00AA0A47"/>
    <w:rsid w:val="00AF0046"/>
    <w:rsid w:val="00B32009"/>
    <w:rsid w:val="00B72A90"/>
    <w:rsid w:val="00B87AED"/>
    <w:rsid w:val="00C16383"/>
    <w:rsid w:val="00C75ED9"/>
    <w:rsid w:val="00C97275"/>
    <w:rsid w:val="00CA2F97"/>
    <w:rsid w:val="00CF2E7C"/>
    <w:rsid w:val="00CF5476"/>
    <w:rsid w:val="00D15D8D"/>
    <w:rsid w:val="00E65000"/>
    <w:rsid w:val="00ED543A"/>
    <w:rsid w:val="00EE0EB0"/>
    <w:rsid w:val="00F04F70"/>
    <w:rsid w:val="00F65457"/>
    <w:rsid w:val="00F65F0E"/>
    <w:rsid w:val="00F84FCB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724"/>
  <w15:chartTrackingRefBased/>
  <w15:docId w15:val="{D2649EAD-D7CF-4C9E-B8B3-3FC1E514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526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457"/>
  </w:style>
  <w:style w:type="paragraph" w:styleId="Piedepgina">
    <w:name w:val="footer"/>
    <w:basedOn w:val="Normal"/>
    <w:link w:val="PiedepginaCar"/>
    <w:uiPriority w:val="99"/>
    <w:unhideWhenUsed/>
    <w:rsid w:val="00F6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457"/>
  </w:style>
  <w:style w:type="paragraph" w:styleId="Prrafodelista">
    <w:name w:val="List Paragraph"/>
    <w:basedOn w:val="Normal"/>
    <w:uiPriority w:val="34"/>
    <w:qFormat/>
    <w:rsid w:val="003050B5"/>
    <w:pPr>
      <w:ind w:left="720"/>
      <w:contextualSpacing/>
    </w:pPr>
  </w:style>
  <w:style w:type="paragraph" w:styleId="Sinespaciado">
    <w:name w:val="No Spacing"/>
    <w:uiPriority w:val="1"/>
    <w:qFormat/>
    <w:rsid w:val="009136D0"/>
    <w:pPr>
      <w:spacing w:after="0" w:line="240" w:lineRule="auto"/>
    </w:pPr>
    <w:rPr>
      <w:rFonts w:eastAsiaTheme="minorEastAsia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5D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D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5D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34C2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C2A"/>
    <w:rPr>
      <w:rFonts w:ascii="Times New Roman" w:eastAsia="Calibri" w:hAnsi="Times New Roman" w:cs="Times New Roman"/>
      <w:color w:val="000000"/>
      <w:sz w:val="20"/>
      <w:szCs w:val="20"/>
      <w:lang w:val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4C2A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4C2A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Refdenotaalpie">
    <w:name w:val="footnote reference"/>
    <w:uiPriority w:val="99"/>
    <w:unhideWhenUsed/>
    <w:rsid w:val="00434C2A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17FD1"/>
    <w:pPr>
      <w:spacing w:after="120" w:line="48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17FD1"/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harChar">
    <w:name w:val="Char Char"/>
    <w:basedOn w:val="Normal"/>
    <w:rsid w:val="00F97EE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Style1">
    <w:name w:val="Style 1"/>
    <w:uiPriority w:val="99"/>
    <w:rsid w:val="00AF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character" w:styleId="Hipervnculo">
    <w:name w:val="Hyperlink"/>
    <w:uiPriority w:val="99"/>
    <w:unhideWhenUsed/>
    <w:rsid w:val="00816BFF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8526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C3BF-EE38-41D5-BC18-00877120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6</cp:revision>
  <dcterms:created xsi:type="dcterms:W3CDTF">2019-03-05T06:01:00Z</dcterms:created>
  <dcterms:modified xsi:type="dcterms:W3CDTF">2019-03-05T06:25:00Z</dcterms:modified>
</cp:coreProperties>
</file>