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85" w:leader="none"/>
          <w:tab w:val="center" w:pos="4136" w:leader="none"/>
        </w:tabs>
        <w:spacing w:lineRule="auto" w:line="240" w:before="0" w:after="0"/>
        <w:jc w:val="center"/>
        <w:rPr>
          <w:rFonts w:ascii="Arial" w:hAnsi="Arial" w:eastAsia="Arial" w:cs="Arial"/>
          <w:b/>
          <w:b/>
          <w:sz w:val="28"/>
        </w:rPr>
      </w:pPr>
      <w:r>
        <w:rPr>
          <w:rFonts w:eastAsia="Arial" w:cs="Arial" w:ascii="Arial" w:hAnsi="Arial"/>
          <w:b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u w:val="single"/>
        </w:rPr>
      </w:pPr>
      <w:r>
        <w:rPr>
          <w:rFonts w:eastAsia="Arial" w:cs="Arial" w:ascii="Arial" w:hAnsi="Arial"/>
          <w:b/>
          <w:sz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u w:val="single"/>
        </w:rPr>
      </w:pPr>
      <w:r>
        <w:rPr>
          <w:rFonts w:eastAsia="Arial" w:cs="Arial" w:ascii="Arial" w:hAnsi="Arial"/>
          <w:b/>
          <w:sz w:val="24"/>
          <w:u w:val="single"/>
        </w:rPr>
        <w:t>INFORMACIÓN PROCESO RECLUTAMIENTO Y SELECCIÓN PÚBLICO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I. PERFIL DEL CARGO CONDUCTOR DE VEHÍCULOS INSTITUCIONALES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8956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234"/>
        <w:gridCol w:w="314"/>
        <w:gridCol w:w="5407"/>
      </w:tblGrid>
      <w:tr>
        <w:trPr>
          <w:trHeight w:val="1" w:hRule="atLeast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Nombre del cargo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Conductor </w:t>
            </w:r>
          </w:p>
        </w:tc>
      </w:tr>
      <w:tr>
        <w:trPr>
          <w:trHeight w:val="1" w:hRule="atLeast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Lugar de desempeño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>Dependencias del Senado en Valparaíso y Santiago.</w:t>
            </w:r>
          </w:p>
        </w:tc>
      </w:tr>
      <w:tr>
        <w:trPr>
          <w:trHeight w:val="1" w:hRule="atLeast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>Funciones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>- Conducir vehículo fiscal para el traslado de las autoridades administrativas de la Corporación.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>- Informar estado y consumo del combustible del vehículo a su cargo.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Arial" w:cs="Arial" w:ascii="Arial" w:hAnsi="Arial"/>
                <w:sz w:val="26"/>
              </w:rPr>
              <w:t>- Ocuparse del cumplimiento de las normas de seguridad del vehículo, tales como: revisar el estado del botiquín de primeros auxilios, contar con equipos extintores de fuego al día, mantener en buen estado neumáticos de repuesto y elementos para su reemplazo, revisión permanente de niveles de líquidos y combustibles mecánicos y de motor, revisión permanente de estado de frenos, etc ., y otros relacionados con el mantenimiento del vehículo.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sz w:val="26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 xml:space="preserve">  </w:t>
            </w:r>
            <w:r>
              <w:rPr>
                <w:rFonts w:eastAsia="Arial" w:cs="Arial" w:ascii="Arial" w:hAnsi="Arial"/>
                <w:sz w:val="26"/>
              </w:rPr>
              <w:t xml:space="preserve">-   </w:t>
            </w:r>
            <w:r>
              <w:rPr>
                <w:rFonts w:eastAsia="Arial" w:cs="Arial" w:ascii="Arial" w:hAnsi="Arial"/>
                <w:sz w:val="26"/>
              </w:rPr>
              <w:t>Trasladar y distribuir documentación institucional.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  <w:r>
              <w:rPr>
                <w:rFonts w:eastAsia="Arial" w:cs="Arial" w:ascii="Arial" w:hAnsi="Arial"/>
                <w:sz w:val="26"/>
              </w:rPr>
              <w:t>- Las que sean encomendadas por la jefatura respectiva dentro del ámbito de su competencia.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Interacciones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>Internas: Jefaturas de departamentos y unidades, funcionarios, personal asesor de parlamentarios.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Arial" w:cs="Arial" w:ascii="Arial" w:hAnsi="Arial"/>
                <w:sz w:val="26"/>
              </w:rPr>
              <w:t>Externas: Funcionarios y trabajadores del sector público y privado respectivamente.</w:t>
            </w:r>
          </w:p>
        </w:tc>
      </w:tr>
      <w:tr>
        <w:trPr>
          <w:trHeight w:val="1" w:hRule="atLeast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Condiciones de desempeño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Arial" w:cs="Arial" w:ascii="Arial" w:hAnsi="Arial"/>
                <w:sz w:val="26"/>
              </w:rPr>
              <w:t>Cargo a contrata, asimilado a la categoría “P</w:t>
            </w:r>
            <w:bookmarkStart w:id="0" w:name="_GoBack"/>
            <w:bookmarkEnd w:id="0"/>
            <w:r>
              <w:rPr>
                <w:rFonts w:eastAsia="Arial" w:cs="Arial" w:ascii="Arial" w:hAnsi="Arial"/>
                <w:sz w:val="26"/>
              </w:rPr>
              <w:t>”, del Escalafón Administrativo del Senado, con una contratación por el plazo de 6 meses como empleo a prueba.</w:t>
            </w:r>
          </w:p>
        </w:tc>
      </w:tr>
      <w:tr>
        <w:trPr>
          <w:trHeight w:val="1" w:hRule="atLeast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Formación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Licencia de educación media, Licencia de conducir profesional A2 o A3 vigente. Experiencia laboral en funciones similares de a lo menos tres años en el sector público o privado. </w:t>
            </w:r>
          </w:p>
        </w:tc>
      </w:tr>
      <w:tr>
        <w:trPr>
          <w:trHeight w:val="1" w:hRule="atLeast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Experiencia laboral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>Experiencia laboral en funciones similares de a lo menos tres años en el sector público o privado. Cumplir con el perfil del cargo publicado en las bases.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>Otras competencias técnicas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>Deseable curso básico de primeros auxilios y mecánica automotriz básica.</w:t>
            </w:r>
          </w:p>
        </w:tc>
      </w:tr>
      <w:tr>
        <w:trPr>
          <w:trHeight w:val="1" w:hRule="atLeast"/>
        </w:trPr>
        <w:tc>
          <w:tcPr>
            <w:tcW w:w="8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COMPETENCIAS REQUERIDAS</w:t>
            </w:r>
          </w:p>
        </w:tc>
      </w:tr>
      <w:tr>
        <w:trPr/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Competencias Organizacionales</w:t>
            </w:r>
          </w:p>
        </w:tc>
        <w:tc>
          <w:tcPr>
            <w:tcW w:w="5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080" w:hanging="360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 xml:space="preserve">Probidad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080" w:hanging="360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>Compromiso Institucional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080" w:hanging="360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>Prudencia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080" w:hanging="360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>Excelencia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080" w:hanging="360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>Integridad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>Competencias del Cargo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>TÉCNICAS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720" w:hanging="360"/>
              <w:rPr/>
            </w:pPr>
            <w:r>
              <w:rPr>
                <w:rFonts w:eastAsia="Arial" w:cs="Arial" w:ascii="Arial" w:hAnsi="Arial"/>
                <w:sz w:val="26"/>
              </w:rPr>
              <w:t>Deseable curso básico de primeros auxilios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720" w:hanging="360"/>
              <w:rPr/>
            </w:pPr>
            <w:r>
              <w:rPr>
                <w:rFonts w:eastAsia="Arial" w:cs="Arial" w:ascii="Arial" w:hAnsi="Arial"/>
                <w:sz w:val="26"/>
              </w:rPr>
              <w:t>Deseable conocimiento de mecánica automotriz básica.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720" w:hanging="360"/>
              <w:rPr/>
            </w:pPr>
            <w:r>
              <w:rPr>
                <w:rFonts w:eastAsia="Arial" w:cs="Arial" w:ascii="Arial" w:hAnsi="Arial"/>
                <w:sz w:val="26"/>
              </w:rPr>
              <w:t>Conducir en forma segura en situaciones de tránsito difíciles y condiciones ambientales adversas.</w:t>
            </w:r>
          </w:p>
        </w:tc>
      </w:tr>
      <w:tr>
        <w:trPr>
          <w:trHeight w:val="1" w:hRule="atLeast"/>
        </w:trPr>
        <w:tc>
          <w:tcPr>
            <w:tcW w:w="3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>DE GESTIÓN (III)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720" w:hanging="360"/>
              <w:rPr>
                <w:rFonts w:ascii="Arial" w:hAnsi="Arial" w:eastAsia="Arial" w:cs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 xml:space="preserve">Trabajo en equipo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720" w:hanging="360"/>
              <w:rPr/>
            </w:pPr>
            <w:r>
              <w:rPr>
                <w:rFonts w:eastAsia="Arial" w:cs="Arial" w:ascii="Arial" w:hAnsi="Arial"/>
                <w:sz w:val="26"/>
              </w:rPr>
              <w:t xml:space="preserve">Iniciativa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720" w:hanging="360"/>
              <w:rPr/>
            </w:pPr>
            <w:r>
              <w:rPr>
                <w:rFonts w:eastAsia="Arial" w:cs="Arial" w:ascii="Arial" w:hAnsi="Arial"/>
                <w:sz w:val="26"/>
              </w:rPr>
              <w:t>Relaciones interpersonales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II. CRONOGRAMA CARGO CONDUCTOR DE VEHÍCULOS INSTITUCIONALES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tbl>
      <w:tblPr>
        <w:tblW w:w="8956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497"/>
        <w:gridCol w:w="5458"/>
      </w:tblGrid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HITO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FECHA</w:t>
            </w:r>
          </w:p>
        </w:tc>
      </w:tr>
      <w:tr>
        <w:trPr>
          <w:trHeight w:val="1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PUBLICACIÓN CONCURSO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9 de febrero de 2020, </w:t>
            </w:r>
            <w:hyperlink r:id="rId2">
              <w:r>
                <w:rPr>
                  <w:rStyle w:val="Style"/>
                  <w:rFonts w:eastAsia="Arial" w:cs="Arial" w:ascii="Arial" w:hAnsi="Arial"/>
                  <w:b/>
                  <w:color w:val="0000FF"/>
                  <w:sz w:val="24"/>
                  <w:u w:val="single"/>
                </w:rPr>
                <w:t>www.senado.cl</w:t>
              </w:r>
            </w:hyperlink>
            <w:r>
              <w:rPr>
                <w:rFonts w:eastAsia="Arial" w:cs="Arial" w:ascii="Arial" w:hAnsi="Arial"/>
                <w:b/>
                <w:sz w:val="24"/>
              </w:rPr>
              <w:t xml:space="preserve"> y en el diario “El Mercurio” y “El Mercurio Valparaíso” </w:t>
            </w:r>
          </w:p>
        </w:tc>
      </w:tr>
      <w:tr>
        <w:trPr>
          <w:trHeight w:val="1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RECEPCIÓN ANTECEDENTES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4"/>
              </w:rPr>
            </w:pPr>
            <w:r>
              <w:rPr>
                <w:rFonts w:eastAsia="Arial" w:cs="Arial" w:ascii="Arial" w:hAnsi="Arial"/>
                <w:b/>
                <w:sz w:val="24"/>
              </w:rPr>
              <w:t>-</w:t>
              <w:tab/>
              <w:t>Hasta el 19 de febrero de 2020, en días hábiles de lunes a viernes, de 09:00 a 13:00 hora, en las oficinas del Departamento de Personas y Desarrollo Organizacional del Senado, primer piso de la Placa del Edificio del Congreso Nacional, ubicado en calle Av. Pedro Montt s/n, Valparaíso (entrada por calle Victoria).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Las postulaciones y sus antecedentes podrán ser remitidos por correo certificado a la dirección señalada en el párrafo anterior, y sólo serán admitidas si se recepcionan dentro del plazo indicado. No se aceptarán postulaciones por correo electrónico.</w:t>
            </w:r>
          </w:p>
        </w:tc>
      </w:tr>
      <w:tr>
        <w:trPr>
          <w:trHeight w:val="1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COMUNICADO PRIMERA SELECCIÓN POR ANTECEDENTES Y LLAMADO A  PRUEBA TÉCNICA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Día 21 de febrero de 2020</w:t>
            </w:r>
          </w:p>
        </w:tc>
      </w:tr>
      <w:tr>
        <w:trPr>
          <w:trHeight w:val="1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PRUEBA TÉCNICA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Día 26 a 28 de febrero de 2020</w:t>
            </w:r>
          </w:p>
        </w:tc>
      </w:tr>
      <w:tr>
        <w:trPr>
          <w:trHeight w:val="1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COMUNICADO SEGUNDA SELECCIÓN Y LLAMADO A ENTREVISTA PSICOLABORALES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Día 2 de marzo de 2020</w:t>
            </w:r>
          </w:p>
        </w:tc>
      </w:tr>
      <w:tr>
        <w:trPr>
          <w:trHeight w:val="1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ENTREVISTAS PSICOLABORALES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Hasta el 5 de marzo de 2020</w:t>
            </w:r>
          </w:p>
        </w:tc>
      </w:tr>
      <w:tr>
        <w:trPr>
          <w:trHeight w:val="1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COMUNICADO TERCERA SELECCIÓN Y LLAMADO A ENTREVISTA DE ADECUACIÓN AL CARGO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Día 9 de marzo de 2020</w:t>
            </w:r>
          </w:p>
        </w:tc>
      </w:tr>
      <w:tr>
        <w:trPr>
          <w:trHeight w:val="1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sz w:val="24"/>
              </w:rPr>
            </w:pPr>
            <w:r>
              <w:rPr>
                <w:rFonts w:eastAsia="Arial" w:cs="Arial" w:ascii="Arial" w:hAnsi="Arial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sz w:val="24"/>
              </w:rPr>
            </w:pPr>
            <w:r>
              <w:rPr>
                <w:rFonts w:eastAsia="Arial" w:cs="Arial" w:ascii="Arial" w:hAnsi="Arial"/>
                <w:b/>
                <w:sz w:val="24"/>
              </w:rPr>
              <w:t xml:space="preserve">ENTREVISTAS DE ADECUACIÓN AL CARGO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Día 10 de marzo de 2020</w:t>
            </w:r>
          </w:p>
        </w:tc>
      </w:tr>
      <w:tr>
        <w:trPr>
          <w:trHeight w:val="1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INFORME Y PRESENTACIÓN DE TERNA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Día 11 de marzo de 2020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III. TABLA EVALUACIÓN Y ETAPAS PROCESO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W w:w="93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783"/>
        <w:gridCol w:w="1845"/>
        <w:gridCol w:w="1675"/>
        <w:gridCol w:w="969"/>
        <w:gridCol w:w="29"/>
        <w:gridCol w:w="999"/>
        <w:gridCol w:w="1022"/>
        <w:gridCol w:w="989"/>
        <w:gridCol w:w="10"/>
      </w:tblGrid>
      <w:tr>
        <w:trPr>
          <w:trHeight w:val="1" w:hRule="atLeast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Etapa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Factor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Criterio de Asignación de Puntaje</w:t>
            </w:r>
          </w:p>
        </w:tc>
        <w:tc>
          <w:tcPr>
            <w:tcW w:w="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Puntaje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Puntaje del Factor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Puntaje Máximo por Etapa</w:t>
            </w: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Puntaje Mínimo por etapa</w:t>
            </w:r>
          </w:p>
        </w:tc>
      </w:tr>
      <w:tr>
        <w:trPr/>
        <w:tc>
          <w:tcPr>
            <w:tcW w:w="17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I. Evaluación de Antecedentes</w:t>
            </w:r>
          </w:p>
        </w:tc>
        <w:tc>
          <w:tcPr>
            <w:tcW w:w="1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Cumplimiento requisitos del cargo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</w:rPr>
              <w:t>Cumple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15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15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15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15</w:t>
            </w:r>
          </w:p>
        </w:tc>
        <w:tc>
          <w:tcPr>
            <w:tcW w:w="10" w:type="dxa"/>
            <w:tcBorders/>
            <w:shd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8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4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</w:rPr>
              <w:t>No cumple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0</w:t>
            </w:r>
          </w:p>
        </w:tc>
        <w:tc>
          <w:tcPr>
            <w:tcW w:w="1028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II. Prueba de Conocimientos Técnicos.</w:t>
            </w:r>
          </w:p>
        </w:tc>
        <w:tc>
          <w:tcPr>
            <w:tcW w:w="1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Evaluación de Competencias Técnicas requeridas para el cargo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Alto conocimiento técnico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45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45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30</w:t>
            </w:r>
          </w:p>
        </w:tc>
        <w:tc>
          <w:tcPr>
            <w:tcW w:w="10" w:type="dxa"/>
            <w:tcBorders/>
            <w:shd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8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4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Medio conocimiento técnico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30</w:t>
            </w:r>
          </w:p>
        </w:tc>
        <w:tc>
          <w:tcPr>
            <w:tcW w:w="1028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8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4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Bajo conocimiento técnico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Menor a 30</w:t>
            </w:r>
          </w:p>
        </w:tc>
        <w:tc>
          <w:tcPr>
            <w:tcW w:w="1028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III. Adecuación Sicológica y competencial</w:t>
            </w:r>
          </w:p>
        </w:tc>
        <w:tc>
          <w:tcPr>
            <w:tcW w:w="1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Evaluación psicológica y de competencias organizacionales y de gestión requeridas para el cargo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</w:rPr>
              <w:t>Recomendable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20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20</w:t>
            </w:r>
          </w:p>
        </w:tc>
        <w:tc>
          <w:tcPr>
            <w:tcW w:w="10" w:type="dxa"/>
            <w:tcBorders/>
            <w:shd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78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4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Recomendable con Observaciones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10</w:t>
            </w:r>
          </w:p>
        </w:tc>
        <w:tc>
          <w:tcPr>
            <w:tcW w:w="1028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78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4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</w:rPr>
              <w:t>No Recomendable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0</w:t>
            </w:r>
          </w:p>
        </w:tc>
        <w:tc>
          <w:tcPr>
            <w:tcW w:w="1028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IV. Entrevista individual con Comité de Selección</w:t>
            </w:r>
          </w:p>
        </w:tc>
        <w:tc>
          <w:tcPr>
            <w:tcW w:w="1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Entrevista individual de adecuación al cargo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Adecuado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Mayor a 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20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20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8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4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No adecuado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0</w:t>
            </w:r>
          </w:p>
        </w:tc>
        <w:tc>
          <w:tcPr>
            <w:tcW w:w="1028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85" w:leader="none"/>
                <w:tab w:val="center" w:pos="4136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" w:type="dxa"/>
            <w:tcBorders/>
            <w:shd w:fill="auto" w:val="clear"/>
            <w:tcMar>
              <w:left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En cumplimiento del Artículo 16 del Reglamento del Personal de la Corporación, la nota final mínima para acceder al cargo deberá ser igual o superior a 5,6 en la escala de 1 a 7 (80%). Aquel postulante que obtuviere menos que esa calificación no podrá optar al cargo.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De igual forma, cada Etapa de Evaluación tiene una mínima aprobación. Aquel postulante que obtuviere menos del puntaje señalado, no podrá optar al cargo. En la etapa 4 podrá formarse una escala de valores de 1 a 20 puntos entre los postulantes, conforme al cumplimiento de los requisitos deseables del perfil del cargo;  calificándose con 0 aquellos que el Comité de Selección considere no adecuados o idóneos para el cargo.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</w:r>
    </w:p>
    <w:p>
      <w:pPr>
        <w:pStyle w:val="Normal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La Nota Final del candidato se obtendrá del siguiente guarismo matemático, que dará lugar a una puntuación dentro de la escala de 1 a 7: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lang w:val="en-US"/>
        </w:rPr>
      </w:pPr>
      <w:r>
        <w:rPr>
          <w:rFonts w:eastAsia="Arial" w:cs="Arial" w:ascii="Arial" w:hAnsi="Arial"/>
          <w:lang w:val="en-US"/>
        </w:rPr>
        <w:t xml:space="preserve">NF = </w:t>
      </w:r>
      <w:r>
        <w:rPr>
          <w:rFonts w:eastAsia="Arial" w:cs="Arial" w:ascii="Arial" w:hAnsi="Arial"/>
          <w:u w:val="single"/>
          <w:lang w:val="en-US"/>
        </w:rPr>
        <w:t>[PE(I) + PE(II) + PE(III) + PE(IV)]</w:t>
      </w:r>
      <w:r>
        <w:rPr>
          <w:rFonts w:eastAsia="Arial" w:cs="Arial" w:ascii="Arial" w:hAnsi="Arial"/>
          <w:lang w:val="en-US"/>
        </w:rPr>
        <w:t xml:space="preserve">  x  7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100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Donde: PE(I)    = Puntaje Etapa I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 xml:space="preserve"> PE(II)  = Puntaje Etapa II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 xml:space="preserve"> PE(III) = Puntaje Etapa III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 xml:space="preserve"> PE(IV) = Puntaje Etapa IV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 xml:space="preserve"> NF       = Nota Final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CL" w:eastAsia="es-C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CL" w:eastAsia="es-C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356f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nado.c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LibreOffice/6.3.4.2$Linux_X86_64 LibreOffice_project/30$Build-2</Application>
  <Pages>5</Pages>
  <Words>839</Words>
  <Characters>4515</Characters>
  <CharactersWithSpaces>5273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2020-02-07T14:59:00Z</dcterms:created>
  <dc:creator>Carlos-Agustin Becerra Panes</dc:creator>
  <dc:description/>
  <dc:language>es-CL</dc:language>
  <cp:lastModifiedBy/>
  <dcterms:modified xsi:type="dcterms:W3CDTF">2020-02-10T16:51:09Z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